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67CDC013"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w:t>
      </w:r>
      <w:r w:rsidR="007B1F7F">
        <w:rPr>
          <w:rFonts w:ascii="Trebuchet MS" w:eastAsia="Times New Roman" w:hAnsi="Trebuchet MS" w:cs="Times New Roman"/>
          <w:b/>
          <w:lang w:eastAsia="en-GB"/>
        </w:rPr>
        <w:t>NNEX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12B2AA94" w:rsidR="00B34F46" w:rsidRPr="00462C57" w:rsidRDefault="00CE27ED"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w:t>
      </w:r>
      <w:r w:rsidR="003F573E" w:rsidRPr="00462C57">
        <w:rPr>
          <w:rFonts w:ascii="Trebuchet MS" w:eastAsia="Times New Roman" w:hAnsi="Trebuchet MS" w:cs="Times New Roman"/>
          <w:b/>
          <w:color w:val="000000" w:themeColor="text1"/>
          <w:lang w:eastAsia="en-GB"/>
        </w:rPr>
        <w:t>I</w:t>
      </w:r>
      <w:r>
        <w:rPr>
          <w:rFonts w:ascii="Trebuchet MS" w:eastAsia="Times New Roman" w:hAnsi="Trebuchet MS" w:cs="Times New Roman"/>
          <w:b/>
          <w:color w:val="000000" w:themeColor="text1"/>
          <w:lang w:eastAsia="en-GB"/>
        </w:rPr>
        <w:t xml:space="preserve">NTERREG VI-B) </w:t>
      </w:r>
      <w:r w:rsidR="003F573E" w:rsidRPr="00462C57">
        <w:rPr>
          <w:rFonts w:ascii="Trebuchet MS" w:eastAsia="Times New Roman" w:hAnsi="Trebuchet MS" w:cs="Times New Roman"/>
          <w:b/>
          <w:color w:val="000000" w:themeColor="text1"/>
          <w:lang w:eastAsia="en-GB"/>
        </w:rPr>
        <w:t>NEXT BLACK SEA BASIN P</w:t>
      </w:r>
      <w:r w:rsidR="00B34F46" w:rsidRPr="00462C57">
        <w:rPr>
          <w:rFonts w:ascii="Trebuchet MS" w:eastAsia="Times New Roman" w:hAnsi="Trebuchet MS" w:cs="Times New Roman"/>
          <w:b/>
          <w:color w:val="000000" w:themeColor="text1"/>
          <w:lang w:eastAsia="en-GB"/>
        </w:rPr>
        <w:t>rogramme</w:t>
      </w:r>
    </w:p>
    <w:p w14:paraId="773991CA" w14:textId="36E67C8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Guidelines for Applicants – Regular projects</w:t>
      </w:r>
    </w:p>
    <w:p w14:paraId="37894C5D" w14:textId="1785080D" w:rsidR="00B34F46" w:rsidRDefault="00B34F46"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First 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2FF2DF1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at operational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0E73CDAA" w:rsidR="00EB621E" w:rsidRPr="00462C57" w:rsidRDefault="009A1E5F" w:rsidP="00462C57">
      <w:pPr>
        <w:shd w:val="clear" w:color="auto" w:fill="DBE5F1" w:themeFill="accent1" w:themeFillTint="33"/>
        <w:spacing w:after="0"/>
        <w:jc w:val="both"/>
        <w:rPr>
          <w:rFonts w:ascii="Trebuchet MS" w:hAnsi="Trebuchet MS"/>
          <w:b/>
          <w:color w:val="000000" w:themeColor="text1"/>
        </w:rPr>
      </w:pPr>
      <w:r w:rsidRPr="00462C57">
        <w:rPr>
          <w:rFonts w:ascii="Trebuchet MS" w:hAnsi="Trebuchet MS"/>
          <w:b/>
          <w:color w:val="000000" w:themeColor="text1"/>
        </w:rPr>
        <w:t>4</w:t>
      </w:r>
      <w:r w:rsidR="00EB621E" w:rsidRPr="00462C57">
        <w:rPr>
          <w:rFonts w:ascii="Trebuchet MS" w:hAnsi="Trebuchet MS"/>
          <w:b/>
          <w:color w:val="000000" w:themeColor="text1"/>
        </w:rPr>
        <w:t>.1. 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way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705E01B7"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576D1B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minimum requirements,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8B6D389"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Ensure products, goods, services and infrastructures that are open or provided to the citizens are accessible to all citizens including 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In addition to the general principle of equal opportunities and non-discrimination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findings from gender analyses, gender impact assessment, or stakeholders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58D352A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Three core inseparable values guides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valorizing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Also, implementing solutions for making cities greener and using sustainably sourced nature-based materials and a zero</w:t>
      </w:r>
      <w:r w:rsidR="00E445CF">
        <w:rPr>
          <w:rFonts w:ascii="Trebuchet MS" w:hAnsi="Trebuchet MS"/>
          <w:color w:val="000000" w:themeColor="text1"/>
        </w:rPr>
        <w:t xml:space="preserve"> </w:t>
      </w:r>
      <w:r w:rsidRPr="00462C57">
        <w:rPr>
          <w:rFonts w:ascii="Trebuchet MS" w:hAnsi="Trebuchet MS"/>
          <w:color w:val="000000" w:themeColor="text1"/>
        </w:rPr>
        <w:t>pollution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development and use of public spaces such as streets, squares and parks; or particularly inspirational models of community centers,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E38C" w14:textId="77777777" w:rsidR="007B1F7F" w:rsidRDefault="007B1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343656"/>
      <w:docPartObj>
        <w:docPartGallery w:val="Page Numbers (Bottom of Page)"/>
        <w:docPartUnique/>
      </w:docPartObj>
    </w:sdtPr>
    <w:sdtEndPr>
      <w:rPr>
        <w:noProof/>
      </w:rPr>
    </w:sdtEndPr>
    <w:sdtContent>
      <w:p w14:paraId="1E7FFC2C" w14:textId="43E2437C" w:rsidR="007B1F7F" w:rsidRDefault="007B1F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2E070D" w14:textId="77777777" w:rsidR="007B1F7F" w:rsidRDefault="007B1F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10D7" w14:textId="77777777" w:rsidR="007B1F7F" w:rsidRDefault="007B1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9A1E5F"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accordance with the Charter of Fundamental Rights of the European Union and in compliance with Article 9 of Regulation (EU) 2021/1060. </w:t>
      </w:r>
    </w:p>
  </w:footnote>
  <w:footnote w:id="2">
    <w:p w14:paraId="13883EBD" w14:textId="77777777" w:rsidR="00EB621E" w:rsidRPr="009A1E5F" w:rsidRDefault="00EB621E" w:rsidP="00EB621E">
      <w:pPr>
        <w:spacing w:after="0" w:line="240" w:lineRule="auto"/>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1" w:history="1">
        <w:r w:rsidRPr="009A1E5F">
          <w:rPr>
            <w:rStyle w:val="Hyperlink"/>
            <w:rFonts w:ascii="Trebuchet MS" w:hAnsi="Trebuchet MS"/>
            <w:color w:val="000000" w:themeColor="text1"/>
            <w:sz w:val="18"/>
            <w:szCs w:val="18"/>
          </w:rPr>
          <w:t>https://europa.eu/new-european-bauhaus/index_en</w:t>
        </w:r>
      </w:hyperlink>
    </w:p>
  </w:footnote>
  <w:footnote w:id="3">
    <w:p w14:paraId="6CDB9679" w14:textId="77777777" w:rsidR="00EB621E" w:rsidRPr="009A1E5F" w:rsidRDefault="00EB621E" w:rsidP="00EB621E">
      <w:pPr>
        <w:pStyle w:val="FootnoteText"/>
        <w:rPr>
          <w:rStyle w:val="Hyperlink"/>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2" w:history="1">
        <w:r w:rsidRPr="009A1E5F">
          <w:rPr>
            <w:rStyle w:val="Hyperlink"/>
            <w:rFonts w:ascii="Trebuchet MS" w:hAnsi="Trebuchet MS"/>
            <w:color w:val="000000" w:themeColor="text1"/>
            <w:sz w:val="18"/>
            <w:szCs w:val="18"/>
          </w:rPr>
          <w:t>https://ec.europa.eu/info/strategy/priorities-2019-2024/european-green-deal_en</w:t>
        </w:r>
      </w:hyperlink>
      <w:r w:rsidRPr="009A1E5F">
        <w:rPr>
          <w:rStyle w:val="Hyperlink"/>
          <w:rFonts w:ascii="Trebuchet MS" w:hAnsi="Trebuchet MS"/>
          <w:color w:val="000000" w:themeColor="text1"/>
          <w:sz w:val="18"/>
          <w:szCs w:val="18"/>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Referring to six environmental objectives as laid down in the EU Taxonomy Regulation, https://ec.europa.eu/info/law/sustainable-finance-taxonomy-regulation-eu-2020-852_en</w:t>
      </w:r>
    </w:p>
  </w:footnote>
  <w:footnote w:id="7">
    <w:p w14:paraId="3A7EBCFB" w14:textId="77777777" w:rsidR="00EB621E" w:rsidRDefault="00EB621E" w:rsidP="00EB621E">
      <w:pPr>
        <w:pStyle w:val="FootnoteText"/>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https://eur-lex.europa.eu/legal-content/EN/TXT/?uri=celex:32020R0852</w:t>
      </w:r>
    </w:p>
  </w:footnote>
  <w:footnote w:id="8">
    <w:p w14:paraId="2B24B0AB" w14:textId="77777777" w:rsidR="00EB621E" w:rsidRPr="00D202FD"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r w:rsidRPr="00D202FD">
        <w:rPr>
          <w:rFonts w:ascii="Trebuchet MS" w:hAnsi="Trebuchet MS"/>
          <w:color w:val="000000" w:themeColor="text1"/>
          <w:sz w:val="18"/>
          <w:szCs w:val="18"/>
        </w:rPr>
        <w:t xml:space="preserve">Kick the Habit: A UN Guide to Climate Neutrality | GRID-Arendal (grida.no) https://www.grida.no/publications/225  </w:t>
      </w:r>
    </w:p>
  </w:footnote>
  <w:footnote w:id="9">
    <w:p w14:paraId="399A4E89" w14:textId="77777777" w:rsidR="00EB621E" w:rsidRPr="00D202FD" w:rsidRDefault="00EB621E" w:rsidP="00EB621E">
      <w:pPr>
        <w:pStyle w:val="FootnoteText"/>
        <w:jc w:val="both"/>
        <w:rPr>
          <w:color w:val="000000" w:themeColor="text1"/>
          <w:sz w:val="18"/>
          <w:szCs w:val="18"/>
        </w:rPr>
      </w:pPr>
      <w:r w:rsidRPr="00D202FD">
        <w:rPr>
          <w:rStyle w:val="FootnoteReference"/>
          <w:rFonts w:ascii="Trebuchet MS" w:hAnsi="Trebuchet MS"/>
          <w:color w:val="000000" w:themeColor="text1"/>
          <w:sz w:val="18"/>
          <w:szCs w:val="18"/>
        </w:rPr>
        <w:footnoteRef/>
      </w:r>
      <w:r w:rsidRPr="00D202FD">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462C57" w:rsidRDefault="00EB621E" w:rsidP="00EB621E">
      <w:pPr>
        <w:pStyle w:val="FootnoteText"/>
        <w:jc w:val="both"/>
        <w:rPr>
          <w:rFonts w:ascii="Trebuchet MS" w:hAnsi="Trebuchet MS"/>
          <w:sz w:val="18"/>
          <w:szCs w:val="18"/>
        </w:rPr>
      </w:pPr>
      <w:r w:rsidRPr="00462C57">
        <w:rPr>
          <w:rStyle w:val="FootnoteReference"/>
          <w:rFonts w:ascii="Trebuchet MS" w:hAnsi="Trebuchet MS"/>
          <w:color w:val="244061" w:themeColor="accent1" w:themeShade="80"/>
          <w:sz w:val="18"/>
          <w:szCs w:val="18"/>
        </w:rPr>
        <w:footnoteRef/>
      </w:r>
      <w:r w:rsidRPr="00462C57">
        <w:rPr>
          <w:rFonts w:ascii="Trebuchet MS" w:hAnsi="Trebuchet MS"/>
          <w:color w:val="244061" w:themeColor="accent1" w:themeShade="80"/>
          <w:sz w:val="18"/>
          <w:szCs w:val="18"/>
        </w:rPr>
        <w:t xml:space="preserve"> For more details regarding green procurement, you can check the European Union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For more details regarding the New European Bauhaus you can check The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For the purpose of the New European Bauhaus initiative, “sustainability” is understood as “environmental sustainability”.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5780" w14:textId="77777777" w:rsidR="007B1F7F" w:rsidRDefault="007B1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77D33" w14:textId="77777777" w:rsidR="007B1F7F" w:rsidRDefault="007B1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101ABA"/>
    <w:rsid w:val="00106E49"/>
    <w:rsid w:val="00114B46"/>
    <w:rsid w:val="00123101"/>
    <w:rsid w:val="00133600"/>
    <w:rsid w:val="001427A2"/>
    <w:rsid w:val="0014371B"/>
    <w:rsid w:val="00153AEE"/>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0352F"/>
    <w:rsid w:val="00331C33"/>
    <w:rsid w:val="00332C36"/>
    <w:rsid w:val="003546FE"/>
    <w:rsid w:val="00370EC6"/>
    <w:rsid w:val="003803B0"/>
    <w:rsid w:val="0039406D"/>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62C57"/>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1F7F"/>
    <w:rsid w:val="007B53D3"/>
    <w:rsid w:val="007B587B"/>
    <w:rsid w:val="007B76BC"/>
    <w:rsid w:val="007C16C4"/>
    <w:rsid w:val="007C226C"/>
    <w:rsid w:val="007D58CB"/>
    <w:rsid w:val="00844140"/>
    <w:rsid w:val="00850F80"/>
    <w:rsid w:val="008510BA"/>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F7F6F"/>
    <w:rsid w:val="00A05B52"/>
    <w:rsid w:val="00A1000F"/>
    <w:rsid w:val="00A1726B"/>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7B61"/>
    <w:rsid w:val="00CE27ED"/>
    <w:rsid w:val="00CF5504"/>
    <w:rsid w:val="00D202FD"/>
    <w:rsid w:val="00D246D9"/>
    <w:rsid w:val="00D40986"/>
    <w:rsid w:val="00D52343"/>
    <w:rsid w:val="00D64ABC"/>
    <w:rsid w:val="00D6717A"/>
    <w:rsid w:val="00D75F80"/>
    <w:rsid w:val="00D86431"/>
    <w:rsid w:val="00D9195E"/>
    <w:rsid w:val="00DA6111"/>
    <w:rsid w:val="00DE7C62"/>
    <w:rsid w:val="00DF2D47"/>
    <w:rsid w:val="00E01768"/>
    <w:rsid w:val="00E04B86"/>
    <w:rsid w:val="00E20BA2"/>
    <w:rsid w:val="00E401D4"/>
    <w:rsid w:val="00E445CF"/>
    <w:rsid w:val="00E57C9B"/>
    <w:rsid w:val="00E71E5F"/>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2649</Words>
  <Characters>15105</Characters>
  <Application>Microsoft Office Word</Application>
  <DocSecurity>0</DocSecurity>
  <Lines>125</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9</cp:revision>
  <dcterms:created xsi:type="dcterms:W3CDTF">2022-12-14T06:56:00Z</dcterms:created>
  <dcterms:modified xsi:type="dcterms:W3CDTF">2023-02-16T07:43:00Z</dcterms:modified>
</cp:coreProperties>
</file>