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Spec="right" w:tblpY="1"/>
        <w:tblOverlap w:val="never"/>
        <w:tblW w:w="6638" w:type="dxa"/>
        <w:tblLayout w:type="fixed"/>
        <w:tblLook w:val="04A0" w:firstRow="1" w:lastRow="0" w:firstColumn="1" w:lastColumn="0" w:noHBand="0" w:noVBand="1"/>
      </w:tblPr>
      <w:tblGrid>
        <w:gridCol w:w="158"/>
        <w:gridCol w:w="6480"/>
      </w:tblGrid>
      <w:tr w:rsidR="00AB0047" w:rsidRPr="009C57E8" w:rsidTr="00FD560D">
        <w:trPr>
          <w:trHeight w:val="5246"/>
        </w:trPr>
        <w:tc>
          <w:tcPr>
            <w:tcW w:w="6638" w:type="dxa"/>
            <w:gridSpan w:val="2"/>
            <w:tcBorders>
              <w:bottom w:val="single" w:sz="2" w:space="0" w:color="BFBFBF" w:themeColor="background1" w:themeShade="BF"/>
            </w:tcBorders>
          </w:tcPr>
          <w:p w:rsidR="00E92D19" w:rsidRPr="009C57E8" w:rsidRDefault="00E92D19" w:rsidP="00E744C2">
            <w:pPr>
              <w:spacing w:before="120" w:after="0" w:line="264" w:lineRule="auto"/>
              <w:rPr>
                <w:rFonts w:cs="Calibri"/>
                <w:b/>
                <w:i/>
                <w:color w:val="983620" w:themeColor="accent2"/>
                <w:sz w:val="28"/>
                <w:szCs w:val="28"/>
              </w:rPr>
            </w:pPr>
            <w:r w:rsidRPr="009C57E8">
              <w:rPr>
                <w:rFonts w:cs="Calibri"/>
                <w:noProof/>
                <w:lang w:eastAsia="en-GB"/>
              </w:rPr>
              <w:drawing>
                <wp:inline distT="0" distB="0" distL="0" distR="0" wp14:anchorId="7F43770C" wp14:editId="5A3AF73A">
                  <wp:extent cx="2603500" cy="1896110"/>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3500" cy="1896110"/>
                          </a:xfrm>
                          <a:prstGeom prst="rect">
                            <a:avLst/>
                          </a:prstGeom>
                          <a:noFill/>
                        </pic:spPr>
                      </pic:pic>
                    </a:graphicData>
                  </a:graphic>
                </wp:inline>
              </w:drawing>
            </w:r>
          </w:p>
          <w:p w:rsidR="00612000" w:rsidRPr="009C57E8" w:rsidRDefault="00E92D19" w:rsidP="000B05D8">
            <w:pPr>
              <w:spacing w:before="120" w:after="0" w:line="264" w:lineRule="auto"/>
              <w:jc w:val="right"/>
              <w:rPr>
                <w:rFonts w:ascii="Century Gothic" w:hAnsi="Century Gothic" w:cs="Calibri"/>
              </w:rPr>
            </w:pPr>
            <w:r w:rsidRPr="009C57E8">
              <w:rPr>
                <w:rFonts w:cs="Calibri"/>
                <w:b/>
                <w:i/>
                <w:color w:val="983620" w:themeColor="accent2"/>
                <w:sz w:val="28"/>
                <w:szCs w:val="28"/>
              </w:rPr>
              <w:t xml:space="preserve"> ANNEX </w:t>
            </w:r>
            <w:r w:rsidR="000B05D8" w:rsidRPr="009C57E8">
              <w:rPr>
                <w:rFonts w:cs="Calibri"/>
                <w:b/>
                <w:i/>
                <w:color w:val="983620" w:themeColor="accent2"/>
                <w:sz w:val="28"/>
                <w:szCs w:val="28"/>
              </w:rPr>
              <w:t>5</w:t>
            </w:r>
          </w:p>
        </w:tc>
      </w:tr>
      <w:tr w:rsidR="00AB0047" w:rsidRPr="009C57E8" w:rsidTr="00C50551">
        <w:trPr>
          <w:gridBefore w:val="1"/>
          <w:wBefore w:w="158" w:type="dxa"/>
          <w:trHeight w:val="1983"/>
        </w:trPr>
        <w:tc>
          <w:tcPr>
            <w:tcW w:w="6480" w:type="dxa"/>
            <w:tcBorders>
              <w:top w:val="single" w:sz="2" w:space="0" w:color="BFBFBF" w:themeColor="background1" w:themeShade="BF"/>
              <w:bottom w:val="single" w:sz="2" w:space="0" w:color="BFBFBF" w:themeColor="background1" w:themeShade="BF"/>
            </w:tcBorders>
            <w:vAlign w:val="bottom"/>
          </w:tcPr>
          <w:sdt>
            <w:sdtPr>
              <w:rPr>
                <w:rFonts w:cs="Calibri"/>
                <w:b/>
                <w:sz w:val="40"/>
                <w:szCs w:val="40"/>
              </w:rPr>
              <w:alias w:val="Title"/>
              <w:tag w:val=""/>
              <w:id w:val="-841541200"/>
              <w:placeholder>
                <w:docPart w:val="8A51E00B7A2C2B4FB097E7F13617664B"/>
              </w:placeholder>
              <w:dataBinding w:prefixMappings="xmlns:ns0='http://purl.org/dc/elements/1.1/' xmlns:ns1='http://schemas.openxmlformats.org/package/2006/metadata/core-properties' " w:xpath="/ns1:coreProperties[1]/ns0:title[1]" w:storeItemID="{6C3C8BC8-F283-45AE-878A-BAB7291924A1}"/>
              <w:text w:multiLine="1"/>
            </w:sdtPr>
            <w:sdtEndPr/>
            <w:sdtContent>
              <w:p w:rsidR="00612000" w:rsidRPr="009C57E8" w:rsidRDefault="00B50629" w:rsidP="00B50629">
                <w:pPr>
                  <w:pStyle w:val="Title"/>
                  <w:spacing w:before="120" w:after="0" w:line="264" w:lineRule="auto"/>
                  <w:rPr>
                    <w:rFonts w:ascii="Century Gothic" w:hAnsi="Century Gothic" w:cs="Calibri"/>
                    <w:sz w:val="64"/>
                    <w:szCs w:val="64"/>
                  </w:rPr>
                </w:pPr>
                <w:r w:rsidRPr="009C57E8">
                  <w:rPr>
                    <w:rFonts w:cs="Calibri"/>
                    <w:b/>
                    <w:sz w:val="40"/>
                    <w:szCs w:val="40"/>
                  </w:rPr>
                  <w:t xml:space="preserve">Strategic Environmental Assessment (SEA) process </w:t>
                </w:r>
                <w:r w:rsidRPr="009C57E8">
                  <w:rPr>
                    <w:rFonts w:cs="Calibri"/>
                    <w:b/>
                    <w:sz w:val="40"/>
                    <w:szCs w:val="40"/>
                  </w:rPr>
                  <w:br/>
                  <w:t xml:space="preserve">- </w:t>
                </w:r>
                <w:r>
                  <w:rPr>
                    <w:rFonts w:cs="Calibri"/>
                    <w:b/>
                    <w:sz w:val="40"/>
                    <w:szCs w:val="40"/>
                  </w:rPr>
                  <w:t xml:space="preserve">Joint Operational Programme </w:t>
                </w:r>
                <w:r w:rsidRPr="009C57E8">
                  <w:rPr>
                    <w:rFonts w:cs="Calibri"/>
                    <w:b/>
                    <w:sz w:val="40"/>
                    <w:szCs w:val="40"/>
                  </w:rPr>
                  <w:t>Black Sea Basin 2014-2020 -</w:t>
                </w:r>
              </w:p>
            </w:sdtContent>
          </w:sdt>
        </w:tc>
      </w:tr>
      <w:tr w:rsidR="00AB0047" w:rsidRPr="009C57E8" w:rsidTr="000E53F1">
        <w:trPr>
          <w:gridBefore w:val="1"/>
          <w:wBefore w:w="158" w:type="dxa"/>
        </w:trPr>
        <w:tc>
          <w:tcPr>
            <w:tcW w:w="6480" w:type="dxa"/>
            <w:tcBorders>
              <w:top w:val="single" w:sz="2" w:space="0" w:color="BFBFBF" w:themeColor="background1" w:themeShade="BF"/>
            </w:tcBorders>
          </w:tcPr>
          <w:p w:rsidR="00612000" w:rsidRPr="009C57E8" w:rsidRDefault="00C50551" w:rsidP="00B50629">
            <w:pPr>
              <w:pStyle w:val="Footer"/>
              <w:spacing w:before="120"/>
              <w:rPr>
                <w:rFonts w:cs="Calibri"/>
                <w:sz w:val="28"/>
                <w:szCs w:val="28"/>
              </w:rPr>
            </w:pPr>
            <w:r w:rsidRPr="009C57E8">
              <w:rPr>
                <w:sz w:val="28"/>
                <w:szCs w:val="28"/>
              </w:rPr>
              <w:t xml:space="preserve">Final draft </w:t>
            </w:r>
            <w:r w:rsidR="00B50629">
              <w:rPr>
                <w:sz w:val="28"/>
                <w:szCs w:val="28"/>
              </w:rPr>
              <w:t>30</w:t>
            </w:r>
            <w:r w:rsidR="00E413CA">
              <w:rPr>
                <w:sz w:val="28"/>
                <w:szCs w:val="28"/>
              </w:rPr>
              <w:t xml:space="preserve"> June</w:t>
            </w:r>
            <w:r w:rsidRPr="009C57E8">
              <w:rPr>
                <w:sz w:val="28"/>
                <w:szCs w:val="28"/>
              </w:rPr>
              <w:t xml:space="preserve"> 2015</w:t>
            </w:r>
            <w:r w:rsidR="001538DA">
              <w:rPr>
                <w:sz w:val="28"/>
                <w:szCs w:val="28"/>
              </w:rPr>
              <w:t xml:space="preserve"> – revised September 2015</w:t>
            </w:r>
            <w:bookmarkStart w:id="0" w:name="_GoBack"/>
            <w:bookmarkEnd w:id="0"/>
          </w:p>
        </w:tc>
      </w:tr>
    </w:tbl>
    <w:p w:rsidR="00FD560D" w:rsidRPr="009C57E8" w:rsidRDefault="00123F77" w:rsidP="00E744C2">
      <w:pPr>
        <w:pStyle w:val="Caption"/>
        <w:pBdr>
          <w:top w:val="single" w:sz="4" w:space="1" w:color="auto"/>
        </w:pBdr>
        <w:spacing w:line="264" w:lineRule="auto"/>
        <w:ind w:left="3119"/>
        <w:jc w:val="left"/>
        <w:rPr>
          <w:rFonts w:cs="Calibri"/>
          <w:sz w:val="24"/>
          <w:szCs w:val="24"/>
        </w:rPr>
      </w:pPr>
      <w:r w:rsidRPr="009C57E8">
        <w:rPr>
          <w:rFonts w:cs="Calibri"/>
        </w:rPr>
        <w:br w:type="textWrapping" w:clear="all"/>
      </w:r>
    </w:p>
    <w:p w:rsidR="00FD560D" w:rsidRPr="009C57E8" w:rsidRDefault="00FD560D" w:rsidP="00E744C2">
      <w:pPr>
        <w:pStyle w:val="Caption"/>
        <w:pBdr>
          <w:top w:val="single" w:sz="4" w:space="1" w:color="auto"/>
        </w:pBdr>
        <w:spacing w:line="264" w:lineRule="auto"/>
        <w:ind w:left="3119"/>
        <w:jc w:val="left"/>
        <w:rPr>
          <w:rFonts w:cs="Calibri"/>
          <w:sz w:val="24"/>
          <w:szCs w:val="24"/>
        </w:rPr>
      </w:pPr>
    </w:p>
    <w:sdt>
      <w:sdtPr>
        <w:rPr>
          <w:rFonts w:asciiTheme="minorHAnsi" w:hAnsiTheme="minorHAnsi" w:cs="Calibri"/>
          <w:color w:val="auto"/>
          <w:sz w:val="24"/>
        </w:rPr>
        <w:id w:val="-857887824"/>
      </w:sdtPr>
      <w:sdtEndPr>
        <w:rPr>
          <w:b/>
          <w:bCs/>
        </w:rPr>
      </w:sdtEndPr>
      <w:sdtContent>
        <w:p w:rsidR="00612000" w:rsidRPr="009C57E8" w:rsidRDefault="00AB0047" w:rsidP="00E744C2">
          <w:pPr>
            <w:pStyle w:val="TOCHeading"/>
            <w:spacing w:before="120" w:after="0" w:line="264" w:lineRule="auto"/>
            <w:rPr>
              <w:rFonts w:asciiTheme="minorHAnsi" w:hAnsiTheme="minorHAnsi" w:cs="Calibri"/>
              <w:sz w:val="40"/>
              <w:szCs w:val="40"/>
            </w:rPr>
          </w:pPr>
          <w:r w:rsidRPr="009C57E8">
            <w:rPr>
              <w:rFonts w:asciiTheme="minorHAnsi" w:hAnsiTheme="minorHAnsi" w:cs="Calibri"/>
              <w:sz w:val="40"/>
              <w:szCs w:val="40"/>
            </w:rPr>
            <w:t>Table of Contents</w:t>
          </w:r>
        </w:p>
        <w:p w:rsidR="00BF7D6E" w:rsidRDefault="00AB0047">
          <w:pPr>
            <w:pStyle w:val="TOC1"/>
            <w:tabs>
              <w:tab w:val="right" w:leader="dot" w:pos="9350"/>
            </w:tabs>
            <w:rPr>
              <w:noProof/>
              <w:color w:val="auto"/>
              <w:sz w:val="22"/>
              <w:szCs w:val="22"/>
              <w:lang w:eastAsia="en-GB"/>
            </w:rPr>
          </w:pPr>
          <w:r w:rsidRPr="009C57E8">
            <w:rPr>
              <w:rFonts w:cs="Calibri"/>
            </w:rPr>
            <w:fldChar w:fldCharType="begin"/>
          </w:r>
          <w:r w:rsidR="00480479" w:rsidRPr="009C57E8">
            <w:rPr>
              <w:rFonts w:cs="Calibri"/>
            </w:rPr>
            <w:instrText>TOC</w:instrText>
          </w:r>
          <w:r w:rsidRPr="009C57E8">
            <w:rPr>
              <w:rFonts w:cs="Calibri"/>
            </w:rPr>
            <w:instrText xml:space="preserve"> \o "1-3" \h \z \u</w:instrText>
          </w:r>
          <w:r w:rsidRPr="009C57E8">
            <w:rPr>
              <w:rFonts w:cs="Calibri"/>
            </w:rPr>
            <w:fldChar w:fldCharType="separate"/>
          </w:r>
          <w:hyperlink w:anchor="_Toc423427677" w:history="1">
            <w:r w:rsidR="00BF7D6E" w:rsidRPr="006B480E">
              <w:rPr>
                <w:rStyle w:val="Hyperlink"/>
                <w:rFonts w:cs="Calibri"/>
                <w:b/>
                <w:noProof/>
              </w:rPr>
              <w:t>Strategic Environmental Assessment (SEA) process  - Joint Operational Programme Black Sea Basin 2014-2020 -</w:t>
            </w:r>
            <w:r w:rsidR="00BF7D6E">
              <w:rPr>
                <w:noProof/>
                <w:webHidden/>
              </w:rPr>
              <w:tab/>
            </w:r>
            <w:r w:rsidR="00BF7D6E">
              <w:rPr>
                <w:noProof/>
                <w:webHidden/>
              </w:rPr>
              <w:fldChar w:fldCharType="begin"/>
            </w:r>
            <w:r w:rsidR="00BF7D6E">
              <w:rPr>
                <w:noProof/>
                <w:webHidden/>
              </w:rPr>
              <w:instrText xml:space="preserve"> PAGEREF _Toc423427677 \h </w:instrText>
            </w:r>
            <w:r w:rsidR="00BF7D6E">
              <w:rPr>
                <w:noProof/>
                <w:webHidden/>
              </w:rPr>
            </w:r>
            <w:r w:rsidR="00BF7D6E">
              <w:rPr>
                <w:noProof/>
                <w:webHidden/>
              </w:rPr>
              <w:fldChar w:fldCharType="separate"/>
            </w:r>
            <w:r w:rsidR="001538DA">
              <w:rPr>
                <w:noProof/>
                <w:webHidden/>
              </w:rPr>
              <w:t>1</w:t>
            </w:r>
            <w:r w:rsidR="00BF7D6E">
              <w:rPr>
                <w:noProof/>
                <w:webHidden/>
              </w:rPr>
              <w:fldChar w:fldCharType="end"/>
            </w:r>
          </w:hyperlink>
        </w:p>
        <w:p w:rsidR="00BF7D6E" w:rsidRDefault="00EA3EA4">
          <w:pPr>
            <w:pStyle w:val="TOC1"/>
            <w:tabs>
              <w:tab w:val="left" w:pos="480"/>
              <w:tab w:val="right" w:leader="dot" w:pos="9350"/>
            </w:tabs>
            <w:rPr>
              <w:noProof/>
              <w:color w:val="auto"/>
              <w:sz w:val="22"/>
              <w:szCs w:val="22"/>
              <w:lang w:eastAsia="en-GB"/>
            </w:rPr>
          </w:pPr>
          <w:hyperlink w:anchor="_Toc423427678" w:history="1">
            <w:r w:rsidR="00BF7D6E" w:rsidRPr="006B480E">
              <w:rPr>
                <w:rStyle w:val="Hyperlink"/>
                <w:rFonts w:cs="Calibri"/>
                <w:noProof/>
              </w:rPr>
              <w:t>1.</w:t>
            </w:r>
            <w:r w:rsidR="00BF7D6E">
              <w:rPr>
                <w:noProof/>
                <w:color w:val="auto"/>
                <w:sz w:val="22"/>
                <w:szCs w:val="22"/>
                <w:lang w:eastAsia="en-GB"/>
              </w:rPr>
              <w:tab/>
            </w:r>
            <w:r w:rsidR="00BF7D6E" w:rsidRPr="006B480E">
              <w:rPr>
                <w:rStyle w:val="Hyperlink"/>
                <w:rFonts w:cs="Calibri"/>
                <w:noProof/>
              </w:rPr>
              <w:t>Introduction</w:t>
            </w:r>
            <w:r w:rsidR="00BF7D6E">
              <w:rPr>
                <w:noProof/>
                <w:webHidden/>
              </w:rPr>
              <w:tab/>
            </w:r>
            <w:r w:rsidR="00BF7D6E">
              <w:rPr>
                <w:noProof/>
                <w:webHidden/>
              </w:rPr>
              <w:fldChar w:fldCharType="begin"/>
            </w:r>
            <w:r w:rsidR="00BF7D6E">
              <w:rPr>
                <w:noProof/>
                <w:webHidden/>
              </w:rPr>
              <w:instrText xml:space="preserve"> PAGEREF _Toc423427678 \h </w:instrText>
            </w:r>
            <w:r w:rsidR="00BF7D6E">
              <w:rPr>
                <w:noProof/>
                <w:webHidden/>
              </w:rPr>
            </w:r>
            <w:r w:rsidR="00BF7D6E">
              <w:rPr>
                <w:noProof/>
                <w:webHidden/>
              </w:rPr>
              <w:fldChar w:fldCharType="separate"/>
            </w:r>
            <w:r w:rsidR="001538DA">
              <w:rPr>
                <w:noProof/>
                <w:webHidden/>
              </w:rPr>
              <w:t>1</w:t>
            </w:r>
            <w:r w:rsidR="00BF7D6E">
              <w:rPr>
                <w:noProof/>
                <w:webHidden/>
              </w:rPr>
              <w:fldChar w:fldCharType="end"/>
            </w:r>
          </w:hyperlink>
        </w:p>
        <w:p w:rsidR="00BF7D6E" w:rsidRDefault="00EA3EA4">
          <w:pPr>
            <w:pStyle w:val="TOC1"/>
            <w:tabs>
              <w:tab w:val="left" w:pos="480"/>
              <w:tab w:val="right" w:leader="dot" w:pos="9350"/>
            </w:tabs>
            <w:rPr>
              <w:noProof/>
              <w:color w:val="auto"/>
              <w:sz w:val="22"/>
              <w:szCs w:val="22"/>
              <w:lang w:eastAsia="en-GB"/>
            </w:rPr>
          </w:pPr>
          <w:hyperlink w:anchor="_Toc423427679" w:history="1">
            <w:r w:rsidR="00BF7D6E" w:rsidRPr="006B480E">
              <w:rPr>
                <w:rStyle w:val="Hyperlink"/>
                <w:rFonts w:cs="Calibri"/>
                <w:noProof/>
              </w:rPr>
              <w:t>2.</w:t>
            </w:r>
            <w:r w:rsidR="00BF7D6E">
              <w:rPr>
                <w:noProof/>
                <w:color w:val="auto"/>
                <w:sz w:val="22"/>
                <w:szCs w:val="22"/>
                <w:lang w:eastAsia="en-GB"/>
              </w:rPr>
              <w:tab/>
            </w:r>
            <w:r w:rsidR="00BF7D6E" w:rsidRPr="006B480E">
              <w:rPr>
                <w:rStyle w:val="Hyperlink"/>
                <w:rFonts w:cs="Calibri"/>
                <w:noProof/>
              </w:rPr>
              <w:t>SEA Directive and requirements</w:t>
            </w:r>
            <w:r w:rsidR="00BF7D6E">
              <w:rPr>
                <w:noProof/>
                <w:webHidden/>
              </w:rPr>
              <w:tab/>
            </w:r>
            <w:r w:rsidR="00BF7D6E">
              <w:rPr>
                <w:noProof/>
                <w:webHidden/>
              </w:rPr>
              <w:fldChar w:fldCharType="begin"/>
            </w:r>
            <w:r w:rsidR="00BF7D6E">
              <w:rPr>
                <w:noProof/>
                <w:webHidden/>
              </w:rPr>
              <w:instrText xml:space="preserve"> PAGEREF _Toc423427679 \h </w:instrText>
            </w:r>
            <w:r w:rsidR="00BF7D6E">
              <w:rPr>
                <w:noProof/>
                <w:webHidden/>
              </w:rPr>
            </w:r>
            <w:r w:rsidR="00BF7D6E">
              <w:rPr>
                <w:noProof/>
                <w:webHidden/>
              </w:rPr>
              <w:fldChar w:fldCharType="separate"/>
            </w:r>
            <w:r w:rsidR="001538DA">
              <w:rPr>
                <w:noProof/>
                <w:webHidden/>
              </w:rPr>
              <w:t>1</w:t>
            </w:r>
            <w:r w:rsidR="00BF7D6E">
              <w:rPr>
                <w:noProof/>
                <w:webHidden/>
              </w:rPr>
              <w:fldChar w:fldCharType="end"/>
            </w:r>
          </w:hyperlink>
        </w:p>
        <w:p w:rsidR="00BF7D6E" w:rsidRDefault="00EA3EA4">
          <w:pPr>
            <w:pStyle w:val="TOC1"/>
            <w:tabs>
              <w:tab w:val="left" w:pos="480"/>
              <w:tab w:val="right" w:leader="dot" w:pos="9350"/>
            </w:tabs>
            <w:rPr>
              <w:noProof/>
              <w:color w:val="auto"/>
              <w:sz w:val="22"/>
              <w:szCs w:val="22"/>
              <w:lang w:eastAsia="en-GB"/>
            </w:rPr>
          </w:pPr>
          <w:hyperlink w:anchor="_Toc423427680" w:history="1">
            <w:r w:rsidR="00BF7D6E" w:rsidRPr="006B480E">
              <w:rPr>
                <w:rStyle w:val="Hyperlink"/>
                <w:rFonts w:cs="Calibri"/>
                <w:noProof/>
              </w:rPr>
              <w:t>3.</w:t>
            </w:r>
            <w:r w:rsidR="00BF7D6E">
              <w:rPr>
                <w:noProof/>
                <w:color w:val="auto"/>
                <w:sz w:val="22"/>
                <w:szCs w:val="22"/>
                <w:lang w:eastAsia="en-GB"/>
              </w:rPr>
              <w:tab/>
            </w:r>
            <w:r w:rsidR="00BF7D6E" w:rsidRPr="006B480E">
              <w:rPr>
                <w:rStyle w:val="Hyperlink"/>
                <w:rFonts w:cs="Calibri"/>
                <w:noProof/>
              </w:rPr>
              <w:t>EC guidance on the conduct of SEA for ENI CBC programmes</w:t>
            </w:r>
            <w:r w:rsidR="00BF7D6E">
              <w:rPr>
                <w:noProof/>
                <w:webHidden/>
              </w:rPr>
              <w:tab/>
            </w:r>
            <w:r w:rsidR="00BF7D6E">
              <w:rPr>
                <w:noProof/>
                <w:webHidden/>
              </w:rPr>
              <w:fldChar w:fldCharType="begin"/>
            </w:r>
            <w:r w:rsidR="00BF7D6E">
              <w:rPr>
                <w:noProof/>
                <w:webHidden/>
              </w:rPr>
              <w:instrText xml:space="preserve"> PAGEREF _Toc423427680 \h </w:instrText>
            </w:r>
            <w:r w:rsidR="00BF7D6E">
              <w:rPr>
                <w:noProof/>
                <w:webHidden/>
              </w:rPr>
            </w:r>
            <w:r w:rsidR="00BF7D6E">
              <w:rPr>
                <w:noProof/>
                <w:webHidden/>
              </w:rPr>
              <w:fldChar w:fldCharType="separate"/>
            </w:r>
            <w:r w:rsidR="001538DA">
              <w:rPr>
                <w:noProof/>
                <w:webHidden/>
              </w:rPr>
              <w:t>1</w:t>
            </w:r>
            <w:r w:rsidR="00BF7D6E">
              <w:rPr>
                <w:noProof/>
                <w:webHidden/>
              </w:rPr>
              <w:fldChar w:fldCharType="end"/>
            </w:r>
          </w:hyperlink>
        </w:p>
        <w:p w:rsidR="00BF7D6E" w:rsidRDefault="00EA3EA4">
          <w:pPr>
            <w:pStyle w:val="TOC1"/>
            <w:tabs>
              <w:tab w:val="left" w:pos="480"/>
              <w:tab w:val="right" w:leader="dot" w:pos="9350"/>
            </w:tabs>
            <w:rPr>
              <w:noProof/>
              <w:color w:val="auto"/>
              <w:sz w:val="22"/>
              <w:szCs w:val="22"/>
              <w:lang w:eastAsia="en-GB"/>
            </w:rPr>
          </w:pPr>
          <w:hyperlink w:anchor="_Toc423427681" w:history="1">
            <w:r w:rsidR="00BF7D6E" w:rsidRPr="006B480E">
              <w:rPr>
                <w:rStyle w:val="Hyperlink"/>
                <w:rFonts w:cs="Calibri"/>
                <w:noProof/>
              </w:rPr>
              <w:t>4.</w:t>
            </w:r>
            <w:r w:rsidR="00BF7D6E">
              <w:rPr>
                <w:noProof/>
                <w:color w:val="auto"/>
                <w:sz w:val="22"/>
                <w:szCs w:val="22"/>
                <w:lang w:eastAsia="en-GB"/>
              </w:rPr>
              <w:tab/>
            </w:r>
            <w:r w:rsidR="00BF7D6E" w:rsidRPr="006B480E">
              <w:rPr>
                <w:rStyle w:val="Hyperlink"/>
                <w:rFonts w:cs="Calibri"/>
                <w:noProof/>
              </w:rPr>
              <w:t>Legal requirements in the MS hosting the MA – Romania</w:t>
            </w:r>
            <w:r w:rsidR="00BF7D6E">
              <w:rPr>
                <w:noProof/>
                <w:webHidden/>
              </w:rPr>
              <w:tab/>
            </w:r>
            <w:r w:rsidR="00BF7D6E">
              <w:rPr>
                <w:noProof/>
                <w:webHidden/>
              </w:rPr>
              <w:fldChar w:fldCharType="begin"/>
            </w:r>
            <w:r w:rsidR="00BF7D6E">
              <w:rPr>
                <w:noProof/>
                <w:webHidden/>
              </w:rPr>
              <w:instrText xml:space="preserve"> PAGEREF _Toc423427681 \h </w:instrText>
            </w:r>
            <w:r w:rsidR="00BF7D6E">
              <w:rPr>
                <w:noProof/>
                <w:webHidden/>
              </w:rPr>
            </w:r>
            <w:r w:rsidR="00BF7D6E">
              <w:rPr>
                <w:noProof/>
                <w:webHidden/>
              </w:rPr>
              <w:fldChar w:fldCharType="separate"/>
            </w:r>
            <w:r w:rsidR="001538DA">
              <w:rPr>
                <w:noProof/>
                <w:webHidden/>
              </w:rPr>
              <w:t>2</w:t>
            </w:r>
            <w:r w:rsidR="00BF7D6E">
              <w:rPr>
                <w:noProof/>
                <w:webHidden/>
              </w:rPr>
              <w:fldChar w:fldCharType="end"/>
            </w:r>
          </w:hyperlink>
        </w:p>
        <w:p w:rsidR="00BF7D6E" w:rsidRDefault="00EA3EA4">
          <w:pPr>
            <w:pStyle w:val="TOC1"/>
            <w:tabs>
              <w:tab w:val="left" w:pos="480"/>
              <w:tab w:val="right" w:leader="dot" w:pos="9350"/>
            </w:tabs>
            <w:rPr>
              <w:noProof/>
              <w:color w:val="auto"/>
              <w:sz w:val="22"/>
              <w:szCs w:val="22"/>
              <w:lang w:eastAsia="en-GB"/>
            </w:rPr>
          </w:pPr>
          <w:hyperlink w:anchor="_Toc423427682" w:history="1">
            <w:r w:rsidR="00BF7D6E" w:rsidRPr="006B480E">
              <w:rPr>
                <w:rStyle w:val="Hyperlink"/>
                <w:rFonts w:cs="Calibri"/>
                <w:noProof/>
              </w:rPr>
              <w:t>5.</w:t>
            </w:r>
            <w:r w:rsidR="00BF7D6E">
              <w:rPr>
                <w:noProof/>
                <w:color w:val="auto"/>
                <w:sz w:val="22"/>
                <w:szCs w:val="22"/>
                <w:lang w:eastAsia="en-GB"/>
              </w:rPr>
              <w:tab/>
            </w:r>
            <w:r w:rsidR="00BF7D6E" w:rsidRPr="006B480E">
              <w:rPr>
                <w:rStyle w:val="Hyperlink"/>
                <w:rFonts w:cs="Calibri"/>
                <w:noProof/>
              </w:rPr>
              <w:t>SEA process for the Black Sea Basin ENI CBC programme 2014-2020</w:t>
            </w:r>
            <w:r w:rsidR="00BF7D6E">
              <w:rPr>
                <w:noProof/>
                <w:webHidden/>
              </w:rPr>
              <w:tab/>
            </w:r>
            <w:r w:rsidR="00BF7D6E">
              <w:rPr>
                <w:noProof/>
                <w:webHidden/>
              </w:rPr>
              <w:fldChar w:fldCharType="begin"/>
            </w:r>
            <w:r w:rsidR="00BF7D6E">
              <w:rPr>
                <w:noProof/>
                <w:webHidden/>
              </w:rPr>
              <w:instrText xml:space="preserve"> PAGEREF _Toc423427682 \h </w:instrText>
            </w:r>
            <w:r w:rsidR="00BF7D6E">
              <w:rPr>
                <w:noProof/>
                <w:webHidden/>
              </w:rPr>
            </w:r>
            <w:r w:rsidR="00BF7D6E">
              <w:rPr>
                <w:noProof/>
                <w:webHidden/>
              </w:rPr>
              <w:fldChar w:fldCharType="separate"/>
            </w:r>
            <w:r w:rsidR="001538DA">
              <w:rPr>
                <w:noProof/>
                <w:webHidden/>
              </w:rPr>
              <w:t>3</w:t>
            </w:r>
            <w:r w:rsidR="00BF7D6E">
              <w:rPr>
                <w:noProof/>
                <w:webHidden/>
              </w:rPr>
              <w:fldChar w:fldCharType="end"/>
            </w:r>
          </w:hyperlink>
        </w:p>
        <w:p w:rsidR="00BF7D6E" w:rsidRDefault="00EA3EA4">
          <w:pPr>
            <w:pStyle w:val="TOC3"/>
            <w:tabs>
              <w:tab w:val="left" w:pos="880"/>
              <w:tab w:val="right" w:leader="dot" w:pos="9350"/>
            </w:tabs>
            <w:rPr>
              <w:noProof/>
              <w:sz w:val="22"/>
              <w:szCs w:val="22"/>
              <w:lang w:eastAsia="en-GB"/>
            </w:rPr>
          </w:pPr>
          <w:hyperlink w:anchor="_Toc423427683" w:history="1">
            <w:r w:rsidR="00BF7D6E" w:rsidRPr="006B480E">
              <w:rPr>
                <w:rStyle w:val="Hyperlink"/>
                <w:rFonts w:cs="Calibri"/>
                <w:noProof/>
              </w:rPr>
              <w:t>a.</w:t>
            </w:r>
            <w:r w:rsidR="00BF7D6E">
              <w:rPr>
                <w:noProof/>
                <w:sz w:val="22"/>
                <w:szCs w:val="22"/>
                <w:lang w:eastAsia="en-GB"/>
              </w:rPr>
              <w:tab/>
            </w:r>
            <w:r w:rsidR="00BF7D6E" w:rsidRPr="006B480E">
              <w:rPr>
                <w:rStyle w:val="Hyperlink"/>
                <w:rFonts w:cs="Calibri"/>
                <w:noProof/>
              </w:rPr>
              <w:t>BSB SEA process in Romania</w:t>
            </w:r>
            <w:r w:rsidR="00BF7D6E">
              <w:rPr>
                <w:noProof/>
                <w:webHidden/>
              </w:rPr>
              <w:tab/>
            </w:r>
            <w:r w:rsidR="00BF7D6E">
              <w:rPr>
                <w:noProof/>
                <w:webHidden/>
              </w:rPr>
              <w:fldChar w:fldCharType="begin"/>
            </w:r>
            <w:r w:rsidR="00BF7D6E">
              <w:rPr>
                <w:noProof/>
                <w:webHidden/>
              </w:rPr>
              <w:instrText xml:space="preserve"> PAGEREF _Toc423427683 \h </w:instrText>
            </w:r>
            <w:r w:rsidR="00BF7D6E">
              <w:rPr>
                <w:noProof/>
                <w:webHidden/>
              </w:rPr>
            </w:r>
            <w:r w:rsidR="00BF7D6E">
              <w:rPr>
                <w:noProof/>
                <w:webHidden/>
              </w:rPr>
              <w:fldChar w:fldCharType="separate"/>
            </w:r>
            <w:r w:rsidR="001538DA">
              <w:rPr>
                <w:noProof/>
                <w:webHidden/>
              </w:rPr>
              <w:t>3</w:t>
            </w:r>
            <w:r w:rsidR="00BF7D6E">
              <w:rPr>
                <w:noProof/>
                <w:webHidden/>
              </w:rPr>
              <w:fldChar w:fldCharType="end"/>
            </w:r>
          </w:hyperlink>
        </w:p>
        <w:p w:rsidR="00BF7D6E" w:rsidRDefault="00EA3EA4">
          <w:pPr>
            <w:pStyle w:val="TOC3"/>
            <w:tabs>
              <w:tab w:val="left" w:pos="880"/>
              <w:tab w:val="right" w:leader="dot" w:pos="9350"/>
            </w:tabs>
            <w:rPr>
              <w:noProof/>
              <w:sz w:val="22"/>
              <w:szCs w:val="22"/>
              <w:lang w:eastAsia="en-GB"/>
            </w:rPr>
          </w:pPr>
          <w:hyperlink w:anchor="_Toc423427684" w:history="1">
            <w:r w:rsidR="00BF7D6E" w:rsidRPr="006B480E">
              <w:rPr>
                <w:rStyle w:val="Hyperlink"/>
                <w:rFonts w:cs="Calibri"/>
                <w:noProof/>
              </w:rPr>
              <w:t>b.</w:t>
            </w:r>
            <w:r w:rsidR="00BF7D6E">
              <w:rPr>
                <w:noProof/>
                <w:sz w:val="22"/>
                <w:szCs w:val="22"/>
                <w:lang w:eastAsia="en-GB"/>
              </w:rPr>
              <w:tab/>
            </w:r>
            <w:r w:rsidR="00BF7D6E" w:rsidRPr="006B480E">
              <w:rPr>
                <w:rStyle w:val="Hyperlink"/>
                <w:rFonts w:cs="Calibri"/>
                <w:noProof/>
              </w:rPr>
              <w:t>Consultations with environmental authorities in the countries participating in the programme</w:t>
            </w:r>
            <w:r w:rsidR="00BF7D6E">
              <w:rPr>
                <w:noProof/>
                <w:webHidden/>
              </w:rPr>
              <w:tab/>
            </w:r>
            <w:r w:rsidR="00BF7D6E">
              <w:rPr>
                <w:noProof/>
                <w:webHidden/>
              </w:rPr>
              <w:fldChar w:fldCharType="begin"/>
            </w:r>
            <w:r w:rsidR="00BF7D6E">
              <w:rPr>
                <w:noProof/>
                <w:webHidden/>
              </w:rPr>
              <w:instrText xml:space="preserve"> PAGEREF _Toc423427684 \h </w:instrText>
            </w:r>
            <w:r w:rsidR="00BF7D6E">
              <w:rPr>
                <w:noProof/>
                <w:webHidden/>
              </w:rPr>
            </w:r>
            <w:r w:rsidR="00BF7D6E">
              <w:rPr>
                <w:noProof/>
                <w:webHidden/>
              </w:rPr>
              <w:fldChar w:fldCharType="separate"/>
            </w:r>
            <w:r w:rsidR="001538DA">
              <w:rPr>
                <w:noProof/>
                <w:webHidden/>
              </w:rPr>
              <w:t>4</w:t>
            </w:r>
            <w:r w:rsidR="00BF7D6E">
              <w:rPr>
                <w:noProof/>
                <w:webHidden/>
              </w:rPr>
              <w:fldChar w:fldCharType="end"/>
            </w:r>
          </w:hyperlink>
        </w:p>
        <w:p w:rsidR="00BF7D6E" w:rsidRDefault="00EA3EA4">
          <w:pPr>
            <w:pStyle w:val="TOC1"/>
            <w:tabs>
              <w:tab w:val="left" w:pos="480"/>
              <w:tab w:val="right" w:leader="dot" w:pos="9350"/>
            </w:tabs>
            <w:rPr>
              <w:noProof/>
              <w:color w:val="auto"/>
              <w:sz w:val="22"/>
              <w:szCs w:val="22"/>
              <w:lang w:eastAsia="en-GB"/>
            </w:rPr>
          </w:pPr>
          <w:hyperlink w:anchor="_Toc423427685" w:history="1">
            <w:r w:rsidR="00BF7D6E" w:rsidRPr="006B480E">
              <w:rPr>
                <w:rStyle w:val="Hyperlink"/>
                <w:rFonts w:cs="Calibri"/>
                <w:noProof/>
              </w:rPr>
              <w:t>6.</w:t>
            </w:r>
            <w:r w:rsidR="00BF7D6E">
              <w:rPr>
                <w:noProof/>
                <w:color w:val="auto"/>
                <w:sz w:val="22"/>
                <w:szCs w:val="22"/>
                <w:lang w:eastAsia="en-GB"/>
              </w:rPr>
              <w:tab/>
            </w:r>
            <w:r w:rsidR="00BF7D6E" w:rsidRPr="006B480E">
              <w:rPr>
                <w:rStyle w:val="Hyperlink"/>
                <w:rFonts w:cs="Calibri"/>
                <w:noProof/>
              </w:rPr>
              <w:t>Conclusion of the environmental authorities of the participating countries</w:t>
            </w:r>
            <w:r w:rsidR="00BF7D6E">
              <w:rPr>
                <w:noProof/>
                <w:webHidden/>
              </w:rPr>
              <w:tab/>
            </w:r>
            <w:r w:rsidR="00BF7D6E">
              <w:rPr>
                <w:noProof/>
                <w:webHidden/>
              </w:rPr>
              <w:fldChar w:fldCharType="begin"/>
            </w:r>
            <w:r w:rsidR="00BF7D6E">
              <w:rPr>
                <w:noProof/>
                <w:webHidden/>
              </w:rPr>
              <w:instrText xml:space="preserve"> PAGEREF _Toc423427685 \h </w:instrText>
            </w:r>
            <w:r w:rsidR="00BF7D6E">
              <w:rPr>
                <w:noProof/>
                <w:webHidden/>
              </w:rPr>
            </w:r>
            <w:r w:rsidR="00BF7D6E">
              <w:rPr>
                <w:noProof/>
                <w:webHidden/>
              </w:rPr>
              <w:fldChar w:fldCharType="separate"/>
            </w:r>
            <w:r w:rsidR="001538DA">
              <w:rPr>
                <w:noProof/>
                <w:webHidden/>
              </w:rPr>
              <w:t>5</w:t>
            </w:r>
            <w:r w:rsidR="00BF7D6E">
              <w:rPr>
                <w:noProof/>
                <w:webHidden/>
              </w:rPr>
              <w:fldChar w:fldCharType="end"/>
            </w:r>
          </w:hyperlink>
        </w:p>
        <w:p w:rsidR="00BF7D6E" w:rsidRDefault="00EA3EA4">
          <w:pPr>
            <w:pStyle w:val="TOC1"/>
            <w:tabs>
              <w:tab w:val="left" w:pos="480"/>
              <w:tab w:val="right" w:leader="dot" w:pos="9350"/>
            </w:tabs>
            <w:rPr>
              <w:noProof/>
              <w:color w:val="auto"/>
              <w:sz w:val="22"/>
              <w:szCs w:val="22"/>
              <w:lang w:eastAsia="en-GB"/>
            </w:rPr>
          </w:pPr>
          <w:hyperlink w:anchor="_Toc423427686" w:history="1">
            <w:r w:rsidR="00BF7D6E" w:rsidRPr="006B480E">
              <w:rPr>
                <w:rStyle w:val="Hyperlink"/>
                <w:rFonts w:cs="Calibri"/>
                <w:noProof/>
              </w:rPr>
              <w:t>7.</w:t>
            </w:r>
            <w:r w:rsidR="00BF7D6E">
              <w:rPr>
                <w:noProof/>
                <w:color w:val="auto"/>
                <w:sz w:val="22"/>
                <w:szCs w:val="22"/>
                <w:lang w:eastAsia="en-GB"/>
              </w:rPr>
              <w:tab/>
            </w:r>
            <w:r w:rsidR="00BF7D6E" w:rsidRPr="006B480E">
              <w:rPr>
                <w:rStyle w:val="Hyperlink"/>
                <w:rFonts w:cs="Calibri"/>
                <w:noProof/>
              </w:rPr>
              <w:t>Overall conclusions</w:t>
            </w:r>
            <w:r w:rsidR="00BF7D6E">
              <w:rPr>
                <w:noProof/>
                <w:webHidden/>
              </w:rPr>
              <w:tab/>
            </w:r>
            <w:r w:rsidR="00BF7D6E">
              <w:rPr>
                <w:noProof/>
                <w:webHidden/>
              </w:rPr>
              <w:fldChar w:fldCharType="begin"/>
            </w:r>
            <w:r w:rsidR="00BF7D6E">
              <w:rPr>
                <w:noProof/>
                <w:webHidden/>
              </w:rPr>
              <w:instrText xml:space="preserve"> PAGEREF _Toc423427686 \h </w:instrText>
            </w:r>
            <w:r w:rsidR="00BF7D6E">
              <w:rPr>
                <w:noProof/>
                <w:webHidden/>
              </w:rPr>
            </w:r>
            <w:r w:rsidR="00BF7D6E">
              <w:rPr>
                <w:noProof/>
                <w:webHidden/>
              </w:rPr>
              <w:fldChar w:fldCharType="separate"/>
            </w:r>
            <w:r w:rsidR="001538DA">
              <w:rPr>
                <w:noProof/>
                <w:webHidden/>
              </w:rPr>
              <w:t>6</w:t>
            </w:r>
            <w:r w:rsidR="00BF7D6E">
              <w:rPr>
                <w:noProof/>
                <w:webHidden/>
              </w:rPr>
              <w:fldChar w:fldCharType="end"/>
            </w:r>
          </w:hyperlink>
        </w:p>
        <w:p w:rsidR="00BF7D6E" w:rsidRDefault="00EA3EA4">
          <w:pPr>
            <w:pStyle w:val="TOC1"/>
            <w:tabs>
              <w:tab w:val="right" w:leader="dot" w:pos="9350"/>
            </w:tabs>
            <w:rPr>
              <w:noProof/>
              <w:color w:val="auto"/>
              <w:sz w:val="22"/>
              <w:szCs w:val="22"/>
              <w:lang w:eastAsia="en-GB"/>
            </w:rPr>
          </w:pPr>
          <w:hyperlink w:anchor="_Toc423427687" w:history="1">
            <w:r w:rsidR="00BF7D6E" w:rsidRPr="006B480E">
              <w:rPr>
                <w:rStyle w:val="Hyperlink"/>
                <w:rFonts w:cs="Calibri"/>
                <w:b/>
                <w:noProof/>
              </w:rPr>
              <w:t>Attachments</w:t>
            </w:r>
            <w:r w:rsidR="00BF7D6E">
              <w:rPr>
                <w:noProof/>
                <w:webHidden/>
              </w:rPr>
              <w:tab/>
            </w:r>
            <w:r w:rsidR="00BF7D6E">
              <w:rPr>
                <w:noProof/>
                <w:webHidden/>
              </w:rPr>
              <w:fldChar w:fldCharType="begin"/>
            </w:r>
            <w:r w:rsidR="00BF7D6E">
              <w:rPr>
                <w:noProof/>
                <w:webHidden/>
              </w:rPr>
              <w:instrText xml:space="preserve"> PAGEREF _Toc423427687 \h </w:instrText>
            </w:r>
            <w:r w:rsidR="00BF7D6E">
              <w:rPr>
                <w:noProof/>
                <w:webHidden/>
              </w:rPr>
            </w:r>
            <w:r w:rsidR="00BF7D6E">
              <w:rPr>
                <w:noProof/>
                <w:webHidden/>
              </w:rPr>
              <w:fldChar w:fldCharType="separate"/>
            </w:r>
            <w:r w:rsidR="001538DA">
              <w:rPr>
                <w:noProof/>
                <w:webHidden/>
              </w:rPr>
              <w:t>6</w:t>
            </w:r>
            <w:r w:rsidR="00BF7D6E">
              <w:rPr>
                <w:noProof/>
                <w:webHidden/>
              </w:rPr>
              <w:fldChar w:fldCharType="end"/>
            </w:r>
          </w:hyperlink>
        </w:p>
        <w:p w:rsidR="00BF7D6E" w:rsidRDefault="00EA3EA4">
          <w:pPr>
            <w:pStyle w:val="TOC3"/>
            <w:tabs>
              <w:tab w:val="right" w:leader="dot" w:pos="9350"/>
            </w:tabs>
            <w:rPr>
              <w:noProof/>
              <w:sz w:val="22"/>
              <w:szCs w:val="22"/>
              <w:lang w:eastAsia="en-GB"/>
            </w:rPr>
          </w:pPr>
          <w:hyperlink w:anchor="_Toc423427688" w:history="1">
            <w:r w:rsidR="00BF7D6E" w:rsidRPr="006B480E">
              <w:rPr>
                <w:rStyle w:val="Hyperlink"/>
                <w:noProof/>
              </w:rPr>
              <w:t>Attachment 1 – Nominated environmental experts at national level</w:t>
            </w:r>
            <w:r w:rsidR="00BF7D6E">
              <w:rPr>
                <w:noProof/>
                <w:webHidden/>
              </w:rPr>
              <w:tab/>
            </w:r>
            <w:r w:rsidR="00BF7D6E">
              <w:rPr>
                <w:noProof/>
                <w:webHidden/>
              </w:rPr>
              <w:fldChar w:fldCharType="begin"/>
            </w:r>
            <w:r w:rsidR="00BF7D6E">
              <w:rPr>
                <w:noProof/>
                <w:webHidden/>
              </w:rPr>
              <w:instrText xml:space="preserve"> PAGEREF _Toc423427688 \h </w:instrText>
            </w:r>
            <w:r w:rsidR="00BF7D6E">
              <w:rPr>
                <w:noProof/>
                <w:webHidden/>
              </w:rPr>
            </w:r>
            <w:r w:rsidR="00BF7D6E">
              <w:rPr>
                <w:noProof/>
                <w:webHidden/>
              </w:rPr>
              <w:fldChar w:fldCharType="separate"/>
            </w:r>
            <w:r w:rsidR="001538DA">
              <w:rPr>
                <w:noProof/>
                <w:webHidden/>
              </w:rPr>
              <w:t>6</w:t>
            </w:r>
            <w:r w:rsidR="00BF7D6E">
              <w:rPr>
                <w:noProof/>
                <w:webHidden/>
              </w:rPr>
              <w:fldChar w:fldCharType="end"/>
            </w:r>
          </w:hyperlink>
        </w:p>
        <w:p w:rsidR="00BF7D6E" w:rsidRDefault="00EA3EA4">
          <w:pPr>
            <w:pStyle w:val="TOC3"/>
            <w:tabs>
              <w:tab w:val="right" w:leader="dot" w:pos="9350"/>
            </w:tabs>
            <w:rPr>
              <w:noProof/>
              <w:sz w:val="22"/>
              <w:szCs w:val="22"/>
              <w:lang w:eastAsia="en-GB"/>
            </w:rPr>
          </w:pPr>
          <w:hyperlink w:anchor="_Toc423427689" w:history="1">
            <w:r w:rsidR="00BF7D6E" w:rsidRPr="006B480E">
              <w:rPr>
                <w:rStyle w:val="Hyperlink"/>
                <w:noProof/>
              </w:rPr>
              <w:t>Attachment 2 – Note on the preparation of BSB SEA process and initial assessment</w:t>
            </w:r>
            <w:r w:rsidR="00BF7D6E">
              <w:rPr>
                <w:noProof/>
                <w:webHidden/>
              </w:rPr>
              <w:tab/>
            </w:r>
            <w:r w:rsidR="00BF7D6E">
              <w:rPr>
                <w:noProof/>
                <w:webHidden/>
              </w:rPr>
              <w:fldChar w:fldCharType="begin"/>
            </w:r>
            <w:r w:rsidR="00BF7D6E">
              <w:rPr>
                <w:noProof/>
                <w:webHidden/>
              </w:rPr>
              <w:instrText xml:space="preserve"> PAGEREF _Toc423427689 \h </w:instrText>
            </w:r>
            <w:r w:rsidR="00BF7D6E">
              <w:rPr>
                <w:noProof/>
                <w:webHidden/>
              </w:rPr>
            </w:r>
            <w:r w:rsidR="00BF7D6E">
              <w:rPr>
                <w:noProof/>
                <w:webHidden/>
              </w:rPr>
              <w:fldChar w:fldCharType="separate"/>
            </w:r>
            <w:r w:rsidR="001538DA">
              <w:rPr>
                <w:noProof/>
                <w:webHidden/>
              </w:rPr>
              <w:t>6</w:t>
            </w:r>
            <w:r w:rsidR="00BF7D6E">
              <w:rPr>
                <w:noProof/>
                <w:webHidden/>
              </w:rPr>
              <w:fldChar w:fldCharType="end"/>
            </w:r>
          </w:hyperlink>
        </w:p>
        <w:p w:rsidR="00BF7D6E" w:rsidRDefault="00EA3EA4">
          <w:pPr>
            <w:pStyle w:val="TOC3"/>
            <w:tabs>
              <w:tab w:val="right" w:leader="dot" w:pos="9350"/>
            </w:tabs>
            <w:rPr>
              <w:noProof/>
              <w:sz w:val="22"/>
              <w:szCs w:val="22"/>
              <w:lang w:eastAsia="en-GB"/>
            </w:rPr>
          </w:pPr>
          <w:hyperlink w:anchor="_Toc423427690" w:history="1">
            <w:r w:rsidR="00BF7D6E" w:rsidRPr="006B480E">
              <w:rPr>
                <w:rStyle w:val="Hyperlink"/>
                <w:noProof/>
              </w:rPr>
              <w:t>Attachment 3 – Decision on Romanian eligible area</w:t>
            </w:r>
            <w:r w:rsidR="00BF7D6E">
              <w:rPr>
                <w:noProof/>
                <w:webHidden/>
              </w:rPr>
              <w:tab/>
            </w:r>
            <w:r w:rsidR="00BF7D6E">
              <w:rPr>
                <w:noProof/>
                <w:webHidden/>
              </w:rPr>
              <w:fldChar w:fldCharType="begin"/>
            </w:r>
            <w:r w:rsidR="00BF7D6E">
              <w:rPr>
                <w:noProof/>
                <w:webHidden/>
              </w:rPr>
              <w:instrText xml:space="preserve"> PAGEREF _Toc423427690 \h </w:instrText>
            </w:r>
            <w:r w:rsidR="00BF7D6E">
              <w:rPr>
                <w:noProof/>
                <w:webHidden/>
              </w:rPr>
            </w:r>
            <w:r w:rsidR="00BF7D6E">
              <w:rPr>
                <w:noProof/>
                <w:webHidden/>
              </w:rPr>
              <w:fldChar w:fldCharType="separate"/>
            </w:r>
            <w:r w:rsidR="001538DA">
              <w:rPr>
                <w:noProof/>
                <w:webHidden/>
              </w:rPr>
              <w:t>6</w:t>
            </w:r>
            <w:r w:rsidR="00BF7D6E">
              <w:rPr>
                <w:noProof/>
                <w:webHidden/>
              </w:rPr>
              <w:fldChar w:fldCharType="end"/>
            </w:r>
          </w:hyperlink>
        </w:p>
        <w:p w:rsidR="00BF7D6E" w:rsidRDefault="00EA3EA4">
          <w:pPr>
            <w:pStyle w:val="TOC3"/>
            <w:tabs>
              <w:tab w:val="right" w:leader="dot" w:pos="9350"/>
            </w:tabs>
            <w:rPr>
              <w:noProof/>
              <w:sz w:val="22"/>
              <w:szCs w:val="22"/>
              <w:lang w:eastAsia="en-GB"/>
            </w:rPr>
          </w:pPr>
          <w:hyperlink w:anchor="_Toc423427691" w:history="1">
            <w:r w:rsidR="00BF7D6E" w:rsidRPr="006B480E">
              <w:rPr>
                <w:rStyle w:val="Hyperlink"/>
                <w:noProof/>
              </w:rPr>
              <w:t>Attachment 4 – Results of the consultation with environmental authorities in participating countries</w:t>
            </w:r>
            <w:r w:rsidR="00BF7D6E">
              <w:rPr>
                <w:noProof/>
                <w:webHidden/>
              </w:rPr>
              <w:tab/>
            </w:r>
            <w:r w:rsidR="00BF7D6E">
              <w:rPr>
                <w:noProof/>
                <w:webHidden/>
              </w:rPr>
              <w:fldChar w:fldCharType="begin"/>
            </w:r>
            <w:r w:rsidR="00BF7D6E">
              <w:rPr>
                <w:noProof/>
                <w:webHidden/>
              </w:rPr>
              <w:instrText xml:space="preserve"> PAGEREF _Toc423427691 \h </w:instrText>
            </w:r>
            <w:r w:rsidR="00BF7D6E">
              <w:rPr>
                <w:noProof/>
                <w:webHidden/>
              </w:rPr>
            </w:r>
            <w:r w:rsidR="00BF7D6E">
              <w:rPr>
                <w:noProof/>
                <w:webHidden/>
              </w:rPr>
              <w:fldChar w:fldCharType="separate"/>
            </w:r>
            <w:r w:rsidR="001538DA">
              <w:rPr>
                <w:noProof/>
                <w:webHidden/>
              </w:rPr>
              <w:t>6</w:t>
            </w:r>
            <w:r w:rsidR="00BF7D6E">
              <w:rPr>
                <w:noProof/>
                <w:webHidden/>
              </w:rPr>
              <w:fldChar w:fldCharType="end"/>
            </w:r>
          </w:hyperlink>
        </w:p>
        <w:p w:rsidR="00612000" w:rsidRPr="009C57E8" w:rsidRDefault="00AB0047" w:rsidP="00E744C2">
          <w:pPr>
            <w:spacing w:before="120" w:after="0" w:line="264" w:lineRule="auto"/>
            <w:rPr>
              <w:rFonts w:cs="Calibri"/>
            </w:rPr>
            <w:sectPr w:rsidR="00612000" w:rsidRPr="009C57E8" w:rsidSect="002A6A52">
              <w:footerReference w:type="even" r:id="rId10"/>
              <w:footerReference w:type="default" r:id="rId11"/>
              <w:footnotePr>
                <w:numFmt w:val="lowerRoman"/>
              </w:footnotePr>
              <w:endnotePr>
                <w:numFmt w:val="decimal"/>
              </w:endnotePr>
              <w:pgSz w:w="12240" w:h="15840" w:code="1"/>
              <w:pgMar w:top="1021" w:right="1440" w:bottom="1021" w:left="1440" w:header="1134" w:footer="567" w:gutter="0"/>
              <w:pgNumType w:fmt="lowerRoman" w:start="1"/>
              <w:cols w:space="720"/>
              <w:titlePg/>
              <w:docGrid w:linePitch="360"/>
            </w:sectPr>
          </w:pPr>
          <w:r w:rsidRPr="009C57E8">
            <w:rPr>
              <w:rFonts w:cs="Calibri"/>
              <w:b/>
              <w:bCs/>
            </w:rPr>
            <w:fldChar w:fldCharType="end"/>
          </w:r>
        </w:p>
      </w:sdtContent>
    </w:sdt>
    <w:bookmarkStart w:id="1" w:name="_Toc423427677" w:displacedByCustomXml="next"/>
    <w:sdt>
      <w:sdtPr>
        <w:rPr>
          <w:rFonts w:asciiTheme="minorHAnsi" w:hAnsiTheme="minorHAnsi" w:cs="Calibri"/>
          <w:b/>
        </w:rPr>
        <w:alias w:val="Title"/>
        <w:tag w:val=""/>
        <w:id w:val="-1041280957"/>
        <w:dataBinding w:prefixMappings="xmlns:ns0='http://purl.org/dc/elements/1.1/' xmlns:ns1='http://schemas.openxmlformats.org/package/2006/metadata/core-properties' " w:xpath="/ns1:coreProperties[1]/ns0:title[1]" w:storeItemID="{6C3C8BC8-F283-45AE-878A-BAB7291924A1}"/>
        <w:text w:multiLine="1"/>
      </w:sdtPr>
      <w:sdtEndPr/>
      <w:sdtContent>
        <w:p w:rsidR="00612000" w:rsidRPr="009C57E8" w:rsidRDefault="00B50629" w:rsidP="00E744C2">
          <w:pPr>
            <w:pStyle w:val="Heading1"/>
            <w:spacing w:before="120" w:after="0" w:line="264" w:lineRule="auto"/>
            <w:rPr>
              <w:rFonts w:asciiTheme="minorHAnsi" w:hAnsiTheme="minorHAnsi" w:cs="Calibri"/>
            </w:rPr>
          </w:pPr>
          <w:r>
            <w:rPr>
              <w:rFonts w:asciiTheme="minorHAnsi" w:hAnsiTheme="minorHAnsi" w:cs="Calibri"/>
              <w:b/>
            </w:rPr>
            <w:t xml:space="preserve">Strategic Environmental Assessment (SEA) process </w:t>
          </w:r>
          <w:r>
            <w:rPr>
              <w:rFonts w:asciiTheme="minorHAnsi" w:hAnsiTheme="minorHAnsi" w:cs="Calibri"/>
              <w:b/>
            </w:rPr>
            <w:br/>
            <w:t>- Joint Operational Programme Black Sea Basin 2014-2020 -</w:t>
          </w:r>
        </w:p>
      </w:sdtContent>
    </w:sdt>
    <w:bookmarkEnd w:id="1" w:displacedByCustomXml="prev"/>
    <w:p w:rsidR="00612000" w:rsidRPr="009C57E8" w:rsidRDefault="00612000" w:rsidP="00E744C2">
      <w:pPr>
        <w:pStyle w:val="Heading2"/>
        <w:spacing w:after="0" w:line="264" w:lineRule="auto"/>
        <w:jc w:val="left"/>
        <w:rPr>
          <w:rFonts w:asciiTheme="minorHAnsi" w:hAnsiTheme="minorHAnsi" w:cs="Calibri"/>
          <w:sz w:val="22"/>
          <w:szCs w:val="22"/>
        </w:rPr>
      </w:pPr>
    </w:p>
    <w:p w:rsidR="00865A37" w:rsidRPr="009C57E8" w:rsidRDefault="009F3F82" w:rsidP="00E744C2">
      <w:pPr>
        <w:pStyle w:val="Heading1"/>
        <w:numPr>
          <w:ilvl w:val="0"/>
          <w:numId w:val="3"/>
        </w:numPr>
        <w:spacing w:before="120" w:after="0" w:line="264" w:lineRule="auto"/>
        <w:jc w:val="left"/>
        <w:rPr>
          <w:rFonts w:asciiTheme="minorHAnsi" w:hAnsiTheme="minorHAnsi" w:cs="Calibri"/>
          <w:sz w:val="28"/>
        </w:rPr>
      </w:pPr>
      <w:bookmarkStart w:id="2" w:name="_Toc423427678"/>
      <w:r w:rsidRPr="009C57E8">
        <w:rPr>
          <w:rFonts w:asciiTheme="minorHAnsi" w:hAnsiTheme="minorHAnsi" w:cs="Calibri"/>
          <w:sz w:val="28"/>
        </w:rPr>
        <w:t>Introduction</w:t>
      </w:r>
      <w:bookmarkEnd w:id="2"/>
    </w:p>
    <w:p w:rsidR="009A1FA0" w:rsidRPr="009C57E8" w:rsidRDefault="009A1FA0" w:rsidP="009A1FA0">
      <w:pPr>
        <w:autoSpaceDE w:val="0"/>
        <w:autoSpaceDN w:val="0"/>
        <w:adjustRightInd w:val="0"/>
        <w:spacing w:before="120" w:after="0" w:line="264" w:lineRule="auto"/>
        <w:jc w:val="both"/>
        <w:rPr>
          <w:sz w:val="22"/>
          <w:szCs w:val="22"/>
        </w:rPr>
      </w:pPr>
      <w:r w:rsidRPr="009C57E8">
        <w:rPr>
          <w:sz w:val="22"/>
          <w:szCs w:val="22"/>
        </w:rPr>
        <w:t>According to article 4.5h of the CBC Implementing Regulation (897/2014), ENI CBC JOP should include “(h) information on fulfilment of regulatory requirements laid down in Directive 2001/42/EC of the European Parliament and of the Council”, i.e. the directive on the assessment of the effects of plans and programmes on the environment, the so called Strategic Environmental Assessment (SEA) Directive.</w:t>
      </w:r>
    </w:p>
    <w:p w:rsidR="009A1FA0" w:rsidRPr="009C57E8" w:rsidRDefault="009A1FA0" w:rsidP="009A1FA0">
      <w:pPr>
        <w:autoSpaceDE w:val="0"/>
        <w:autoSpaceDN w:val="0"/>
        <w:adjustRightInd w:val="0"/>
        <w:spacing w:before="120" w:after="0" w:line="264" w:lineRule="auto"/>
        <w:jc w:val="both"/>
        <w:rPr>
          <w:sz w:val="22"/>
          <w:szCs w:val="22"/>
        </w:rPr>
      </w:pPr>
      <w:r w:rsidRPr="009C57E8">
        <w:rPr>
          <w:sz w:val="22"/>
          <w:szCs w:val="22"/>
        </w:rPr>
        <w:t xml:space="preserve">This report provides information on how the requirements of the directive were fulfilled for the Black Sea Basin (BSB) ENI CBC programme 2014-2020 including consultations with participating countries and the results of the process. It also outlines the requirements of the SEA Directive and also the EC guidance on the conduct of SEA for ENI CBC programmes issued by INTERACT ENPI. </w:t>
      </w:r>
    </w:p>
    <w:p w:rsidR="00E61634" w:rsidRPr="009C57E8" w:rsidRDefault="009A1FA0" w:rsidP="009A1FA0">
      <w:pPr>
        <w:autoSpaceDE w:val="0"/>
        <w:autoSpaceDN w:val="0"/>
        <w:adjustRightInd w:val="0"/>
        <w:spacing w:before="120" w:after="0" w:line="264" w:lineRule="auto"/>
        <w:jc w:val="both"/>
        <w:rPr>
          <w:sz w:val="22"/>
          <w:szCs w:val="22"/>
        </w:rPr>
      </w:pPr>
      <w:r w:rsidRPr="009C57E8">
        <w:rPr>
          <w:sz w:val="22"/>
          <w:szCs w:val="22"/>
        </w:rPr>
        <w:t xml:space="preserve">A draft of this report was consulted with the countries participating in the programme and was updated following this consultation. </w:t>
      </w:r>
      <w:r w:rsidR="00E61634" w:rsidRPr="009C57E8">
        <w:rPr>
          <w:sz w:val="22"/>
          <w:szCs w:val="22"/>
        </w:rPr>
        <w:t xml:space="preserve"> </w:t>
      </w:r>
    </w:p>
    <w:p w:rsidR="0042101C" w:rsidRPr="009C57E8" w:rsidRDefault="0042101C" w:rsidP="00296CAF">
      <w:pPr>
        <w:autoSpaceDE w:val="0"/>
        <w:autoSpaceDN w:val="0"/>
        <w:adjustRightInd w:val="0"/>
        <w:spacing w:before="120" w:after="0" w:line="264" w:lineRule="auto"/>
        <w:jc w:val="both"/>
        <w:rPr>
          <w:sz w:val="22"/>
          <w:szCs w:val="22"/>
        </w:rPr>
      </w:pPr>
    </w:p>
    <w:p w:rsidR="00E61634" w:rsidRPr="009C57E8" w:rsidRDefault="0042101C" w:rsidP="0042101C">
      <w:pPr>
        <w:pStyle w:val="Heading1"/>
        <w:numPr>
          <w:ilvl w:val="0"/>
          <w:numId w:val="3"/>
        </w:numPr>
        <w:spacing w:before="120" w:after="0" w:line="264" w:lineRule="auto"/>
        <w:jc w:val="left"/>
        <w:rPr>
          <w:rFonts w:asciiTheme="minorHAnsi" w:hAnsiTheme="minorHAnsi" w:cs="Calibri"/>
          <w:sz w:val="28"/>
        </w:rPr>
      </w:pPr>
      <w:bookmarkStart w:id="3" w:name="_Toc423427679"/>
      <w:r w:rsidRPr="009C57E8">
        <w:rPr>
          <w:rFonts w:asciiTheme="minorHAnsi" w:hAnsiTheme="minorHAnsi" w:cs="Calibri"/>
          <w:sz w:val="28"/>
        </w:rPr>
        <w:t>SEA Directive and requirements</w:t>
      </w:r>
      <w:bookmarkEnd w:id="3"/>
    </w:p>
    <w:p w:rsidR="00B529A6" w:rsidRPr="009C57E8" w:rsidRDefault="00B529A6" w:rsidP="00B529A6">
      <w:pPr>
        <w:spacing w:before="120" w:after="0" w:line="264" w:lineRule="auto"/>
        <w:jc w:val="both"/>
        <w:rPr>
          <w:sz w:val="22"/>
          <w:szCs w:val="22"/>
        </w:rPr>
      </w:pPr>
      <w:r w:rsidRPr="009C57E8">
        <w:rPr>
          <w:sz w:val="22"/>
          <w:szCs w:val="22"/>
        </w:rPr>
        <w:t>The purpose of the SEA Directive (Article 1) is to “provide for a higher level of protection of the environment and to contribute to the integration of environmental considerations into the preparation and adoption of plans and programmes with a view to promoting sustainable development”.</w:t>
      </w:r>
    </w:p>
    <w:p w:rsidR="00B529A6" w:rsidRPr="009C57E8" w:rsidRDefault="00B529A6" w:rsidP="00B529A6">
      <w:pPr>
        <w:spacing w:before="120" w:after="0" w:line="264" w:lineRule="auto"/>
        <w:jc w:val="both"/>
        <w:rPr>
          <w:sz w:val="22"/>
          <w:szCs w:val="22"/>
        </w:rPr>
      </w:pPr>
      <w:r w:rsidRPr="009C57E8">
        <w:rPr>
          <w:sz w:val="22"/>
          <w:szCs w:val="22"/>
        </w:rPr>
        <w:t xml:space="preserve">Article 3 of the SEA Directive (especially 3.2 and 3.4 in this context) sets the scope when a SEA should be carried out for a particular programme, namely: </w:t>
      </w:r>
    </w:p>
    <w:p w:rsidR="00B529A6" w:rsidRPr="009C57E8" w:rsidRDefault="00B529A6" w:rsidP="00B529A6">
      <w:pPr>
        <w:pStyle w:val="ListParagraph"/>
        <w:numPr>
          <w:ilvl w:val="0"/>
          <w:numId w:val="41"/>
        </w:numPr>
        <w:spacing w:before="120" w:after="0" w:line="264" w:lineRule="auto"/>
        <w:jc w:val="both"/>
        <w:rPr>
          <w:sz w:val="22"/>
          <w:szCs w:val="22"/>
        </w:rPr>
      </w:pPr>
      <w:r w:rsidRPr="009C57E8">
        <w:rPr>
          <w:sz w:val="22"/>
          <w:szCs w:val="22"/>
        </w:rPr>
        <w:t xml:space="preserve">A full environmental assessment is automatically required when programmes in the sectors mentioned in article 3.2 and meet the provisions of article 3. This refers to programmes that set the framework for consent for projects with work components listed in annex l or </w:t>
      </w:r>
      <w:proofErr w:type="spellStart"/>
      <w:r w:rsidRPr="009C57E8">
        <w:rPr>
          <w:sz w:val="22"/>
          <w:szCs w:val="22"/>
        </w:rPr>
        <w:t>ll</w:t>
      </w:r>
      <w:proofErr w:type="spellEnd"/>
      <w:r w:rsidRPr="009C57E8">
        <w:rPr>
          <w:sz w:val="22"/>
          <w:szCs w:val="22"/>
        </w:rPr>
        <w:t xml:space="preserve"> of the EIA Directive (87/337/EEC), or which in view of the likely effect on sites, have been determined to require an assessment pursuant to art. 6/7 of the Habitat Directive (92/43/EEC).</w:t>
      </w:r>
    </w:p>
    <w:p w:rsidR="00B529A6" w:rsidRPr="009C57E8" w:rsidRDefault="00B529A6" w:rsidP="00B529A6">
      <w:pPr>
        <w:spacing w:before="120" w:after="0" w:line="264" w:lineRule="auto"/>
        <w:jc w:val="both"/>
        <w:rPr>
          <w:b/>
          <w:sz w:val="22"/>
          <w:szCs w:val="22"/>
        </w:rPr>
      </w:pPr>
      <w:r w:rsidRPr="009C57E8">
        <w:rPr>
          <w:b/>
          <w:sz w:val="22"/>
          <w:szCs w:val="22"/>
        </w:rPr>
        <w:t>OR</w:t>
      </w:r>
    </w:p>
    <w:p w:rsidR="00B529A6" w:rsidRPr="009C57E8" w:rsidRDefault="00B529A6" w:rsidP="00B529A6">
      <w:pPr>
        <w:pStyle w:val="ListParagraph"/>
        <w:numPr>
          <w:ilvl w:val="0"/>
          <w:numId w:val="41"/>
        </w:numPr>
        <w:spacing w:before="120" w:after="0" w:line="264" w:lineRule="auto"/>
        <w:jc w:val="both"/>
        <w:rPr>
          <w:sz w:val="22"/>
          <w:szCs w:val="22"/>
        </w:rPr>
      </w:pPr>
      <w:r w:rsidRPr="009C57E8">
        <w:rPr>
          <w:sz w:val="22"/>
          <w:szCs w:val="22"/>
        </w:rPr>
        <w:t>The need for a full environmental assessment is determined following a ‘screening’ process for all programmes not falling under (1) above to determine whether the programme sets the framework for future development consent of projects likely to have a significant effect on the environment.</w:t>
      </w:r>
    </w:p>
    <w:p w:rsidR="0042101C" w:rsidRPr="009C57E8" w:rsidRDefault="0042101C" w:rsidP="00E61634">
      <w:pPr>
        <w:spacing w:before="120" w:after="0"/>
        <w:jc w:val="both"/>
        <w:rPr>
          <w:rFonts w:cs="Times New Roman"/>
          <w:bCs/>
          <w:sz w:val="22"/>
          <w:szCs w:val="22"/>
        </w:rPr>
      </w:pPr>
    </w:p>
    <w:p w:rsidR="00E836AA" w:rsidRPr="009C57E8" w:rsidRDefault="0042101C" w:rsidP="0042101C">
      <w:pPr>
        <w:pStyle w:val="Heading1"/>
        <w:numPr>
          <w:ilvl w:val="0"/>
          <w:numId w:val="3"/>
        </w:numPr>
        <w:spacing w:before="120" w:after="0" w:line="264" w:lineRule="auto"/>
        <w:jc w:val="left"/>
        <w:rPr>
          <w:rFonts w:asciiTheme="minorHAnsi" w:hAnsiTheme="minorHAnsi" w:cs="Calibri"/>
          <w:sz w:val="28"/>
        </w:rPr>
      </w:pPr>
      <w:bookmarkStart w:id="4" w:name="_Toc423427680"/>
      <w:r w:rsidRPr="009C57E8">
        <w:rPr>
          <w:rFonts w:asciiTheme="minorHAnsi" w:hAnsiTheme="minorHAnsi" w:cs="Calibri"/>
          <w:sz w:val="28"/>
        </w:rPr>
        <w:t>EC guidance on the conduct of SEA for ENI CBC programmes</w:t>
      </w:r>
      <w:bookmarkEnd w:id="4"/>
      <w:r w:rsidR="00E836AA" w:rsidRPr="009C57E8">
        <w:rPr>
          <w:rFonts w:asciiTheme="minorHAnsi" w:hAnsiTheme="minorHAnsi" w:cs="Calibri"/>
          <w:sz w:val="28"/>
        </w:rPr>
        <w:t xml:space="preserve"> </w:t>
      </w:r>
    </w:p>
    <w:p w:rsidR="006353E5" w:rsidRPr="009C57E8" w:rsidRDefault="006353E5" w:rsidP="006353E5">
      <w:pPr>
        <w:spacing w:before="120" w:after="0" w:line="264" w:lineRule="auto"/>
        <w:jc w:val="both"/>
        <w:rPr>
          <w:sz w:val="22"/>
          <w:szCs w:val="22"/>
        </w:rPr>
      </w:pPr>
      <w:r w:rsidRPr="009C57E8">
        <w:rPr>
          <w:sz w:val="22"/>
          <w:szCs w:val="22"/>
        </w:rPr>
        <w:t xml:space="preserve">The SEA Directive does not specifically address cross-border cooperation programmes with Partner (third) Countries. In order to guide the responsible authorities, the EC (DG for Development and Cooperation – </w:t>
      </w:r>
      <w:proofErr w:type="spellStart"/>
      <w:r w:rsidRPr="009C57E8">
        <w:rPr>
          <w:sz w:val="22"/>
          <w:szCs w:val="22"/>
        </w:rPr>
        <w:lastRenderedPageBreak/>
        <w:t>EuropeAid</w:t>
      </w:r>
      <w:proofErr w:type="spellEnd"/>
      <w:r w:rsidRPr="009C57E8">
        <w:rPr>
          <w:sz w:val="22"/>
          <w:szCs w:val="22"/>
        </w:rPr>
        <w:t xml:space="preserve">, Unit F3) issued a </w:t>
      </w:r>
      <w:r w:rsidRPr="009C57E8">
        <w:rPr>
          <w:i/>
          <w:sz w:val="22"/>
          <w:szCs w:val="22"/>
        </w:rPr>
        <w:t>Guidance Note on Strategic Environmental Assessment (SEA) in the context of ENI CBC</w:t>
      </w:r>
      <w:r w:rsidRPr="009C57E8">
        <w:rPr>
          <w:rStyle w:val="FootnoteReference"/>
          <w:i/>
          <w:color w:val="1F497D"/>
        </w:rPr>
        <w:footnoteReference w:id="1"/>
      </w:r>
      <w:r w:rsidRPr="009C57E8">
        <w:rPr>
          <w:sz w:val="22"/>
          <w:szCs w:val="22"/>
        </w:rPr>
        <w:t xml:space="preserve"> (hereafter, the EC guidance) to the Joint Programming Committee (JPC) Members of the ENI CBC Programmes on 6 June 2014.</w:t>
      </w:r>
    </w:p>
    <w:p w:rsidR="006353E5" w:rsidRPr="009C57E8" w:rsidRDefault="006353E5" w:rsidP="006353E5">
      <w:pPr>
        <w:spacing w:before="120" w:after="0" w:line="264" w:lineRule="auto"/>
        <w:jc w:val="both"/>
        <w:rPr>
          <w:sz w:val="22"/>
          <w:szCs w:val="22"/>
        </w:rPr>
      </w:pPr>
      <w:r w:rsidRPr="009C57E8">
        <w:rPr>
          <w:sz w:val="22"/>
          <w:szCs w:val="22"/>
        </w:rPr>
        <w:t xml:space="preserve">The aim of the EC guidance is to provide Managing Authorities (MAs) with an interpretation of the SEA Directive in the context of ENI CBC, including the necessary legal steps for the conduct of the SEA process and the different actors to be involved in these steps. It does not substitute for the SEA Directive, and should be read in conjunction with the directive. The guidance illustrates the theory with examples from ENPI CBC programmes for the period 2007-2013. Finally, it provides the minimum information required by DG Environment during inter-service consultations following the submission of the programmes to the European Commission (EC) for adoption. </w:t>
      </w:r>
    </w:p>
    <w:p w:rsidR="006353E5" w:rsidRPr="009C57E8" w:rsidRDefault="006353E5" w:rsidP="006353E5">
      <w:pPr>
        <w:spacing w:before="120" w:after="0" w:line="264" w:lineRule="auto"/>
        <w:jc w:val="both"/>
        <w:rPr>
          <w:sz w:val="22"/>
          <w:szCs w:val="22"/>
        </w:rPr>
      </w:pPr>
      <w:r w:rsidRPr="009C57E8">
        <w:rPr>
          <w:sz w:val="22"/>
          <w:szCs w:val="22"/>
        </w:rPr>
        <w:t>According to the guidance, the following steps should be taken:</w:t>
      </w:r>
    </w:p>
    <w:p w:rsidR="006353E5" w:rsidRPr="009C57E8" w:rsidRDefault="006353E5" w:rsidP="006353E5">
      <w:pPr>
        <w:pStyle w:val="ListParagraph"/>
        <w:numPr>
          <w:ilvl w:val="0"/>
          <w:numId w:val="49"/>
        </w:numPr>
        <w:spacing w:before="120" w:after="0" w:line="264" w:lineRule="auto"/>
        <w:jc w:val="both"/>
        <w:rPr>
          <w:sz w:val="22"/>
          <w:szCs w:val="22"/>
        </w:rPr>
      </w:pPr>
      <w:r w:rsidRPr="009C57E8">
        <w:rPr>
          <w:sz w:val="22"/>
          <w:szCs w:val="22"/>
        </w:rPr>
        <w:t>Identification of the relevant environmental authorities in all participating countries,</w:t>
      </w:r>
    </w:p>
    <w:p w:rsidR="006353E5" w:rsidRPr="009C57E8" w:rsidRDefault="006353E5" w:rsidP="006353E5">
      <w:pPr>
        <w:pStyle w:val="ListParagraph"/>
        <w:numPr>
          <w:ilvl w:val="0"/>
          <w:numId w:val="49"/>
        </w:numPr>
        <w:spacing w:before="120" w:after="0" w:line="264" w:lineRule="auto"/>
        <w:jc w:val="both"/>
        <w:rPr>
          <w:sz w:val="22"/>
          <w:szCs w:val="22"/>
        </w:rPr>
      </w:pPr>
      <w:r w:rsidRPr="009C57E8">
        <w:rPr>
          <w:sz w:val="22"/>
          <w:szCs w:val="22"/>
        </w:rPr>
        <w:t>Decision on whether a full SEA is required or not.</w:t>
      </w:r>
    </w:p>
    <w:p w:rsidR="006353E5" w:rsidRPr="009C57E8" w:rsidRDefault="006353E5" w:rsidP="006353E5">
      <w:pPr>
        <w:spacing w:before="120" w:after="0" w:line="264" w:lineRule="auto"/>
        <w:jc w:val="both"/>
        <w:rPr>
          <w:sz w:val="22"/>
          <w:szCs w:val="22"/>
        </w:rPr>
      </w:pPr>
      <w:r w:rsidRPr="009C57E8">
        <w:rPr>
          <w:sz w:val="22"/>
          <w:szCs w:val="22"/>
        </w:rPr>
        <w:t>And, if a SEA is required:</w:t>
      </w:r>
    </w:p>
    <w:p w:rsidR="006353E5" w:rsidRPr="009C57E8" w:rsidRDefault="006353E5" w:rsidP="006353E5">
      <w:pPr>
        <w:pStyle w:val="ListParagraph"/>
        <w:numPr>
          <w:ilvl w:val="0"/>
          <w:numId w:val="48"/>
        </w:numPr>
        <w:spacing w:before="120" w:after="0" w:line="264" w:lineRule="auto"/>
        <w:jc w:val="both"/>
        <w:rPr>
          <w:sz w:val="22"/>
          <w:szCs w:val="22"/>
        </w:rPr>
      </w:pPr>
      <w:r w:rsidRPr="009C57E8">
        <w:rPr>
          <w:sz w:val="22"/>
          <w:szCs w:val="22"/>
        </w:rPr>
        <w:t>Determination of SEA scope and preparation of an environmental report</w:t>
      </w:r>
    </w:p>
    <w:p w:rsidR="006353E5" w:rsidRPr="009C57E8" w:rsidRDefault="006353E5" w:rsidP="006353E5">
      <w:pPr>
        <w:pStyle w:val="ListParagraph"/>
        <w:numPr>
          <w:ilvl w:val="0"/>
          <w:numId w:val="48"/>
        </w:numPr>
        <w:spacing w:before="120" w:after="0" w:line="264" w:lineRule="auto"/>
        <w:jc w:val="both"/>
        <w:rPr>
          <w:sz w:val="22"/>
          <w:szCs w:val="22"/>
        </w:rPr>
      </w:pPr>
      <w:r w:rsidRPr="009C57E8">
        <w:rPr>
          <w:sz w:val="22"/>
          <w:szCs w:val="22"/>
        </w:rPr>
        <w:t>Consultations of the environmental authorities and the public</w:t>
      </w:r>
    </w:p>
    <w:p w:rsidR="006353E5" w:rsidRPr="009C57E8" w:rsidRDefault="006353E5" w:rsidP="006353E5">
      <w:pPr>
        <w:pStyle w:val="ListParagraph"/>
        <w:numPr>
          <w:ilvl w:val="0"/>
          <w:numId w:val="48"/>
        </w:numPr>
        <w:spacing w:before="120" w:after="0" w:line="264" w:lineRule="auto"/>
        <w:jc w:val="both"/>
        <w:rPr>
          <w:sz w:val="22"/>
          <w:szCs w:val="22"/>
        </w:rPr>
      </w:pPr>
      <w:r w:rsidRPr="009C57E8">
        <w:rPr>
          <w:sz w:val="22"/>
          <w:szCs w:val="22"/>
        </w:rPr>
        <w:t>Inclusion of environmental report conclusions and consultations results in the JOP</w:t>
      </w:r>
    </w:p>
    <w:p w:rsidR="006353E5" w:rsidRPr="009C57E8" w:rsidRDefault="006353E5" w:rsidP="006353E5">
      <w:pPr>
        <w:pStyle w:val="ListParagraph"/>
        <w:numPr>
          <w:ilvl w:val="0"/>
          <w:numId w:val="48"/>
        </w:numPr>
        <w:spacing w:before="120" w:after="0" w:line="264" w:lineRule="auto"/>
        <w:jc w:val="both"/>
        <w:rPr>
          <w:sz w:val="22"/>
          <w:szCs w:val="22"/>
        </w:rPr>
      </w:pPr>
      <w:r w:rsidRPr="009C57E8">
        <w:rPr>
          <w:sz w:val="22"/>
          <w:szCs w:val="22"/>
        </w:rPr>
        <w:t>Adequate monitoring of recommendations</w:t>
      </w:r>
    </w:p>
    <w:p w:rsidR="006353E5" w:rsidRPr="009C57E8" w:rsidRDefault="006353E5" w:rsidP="006353E5">
      <w:pPr>
        <w:pStyle w:val="ListParagraph"/>
        <w:numPr>
          <w:ilvl w:val="0"/>
          <w:numId w:val="48"/>
        </w:numPr>
        <w:spacing w:before="120" w:after="0" w:line="264" w:lineRule="auto"/>
        <w:jc w:val="both"/>
        <w:rPr>
          <w:sz w:val="22"/>
          <w:szCs w:val="22"/>
        </w:rPr>
      </w:pPr>
      <w:r w:rsidRPr="009C57E8">
        <w:rPr>
          <w:sz w:val="22"/>
          <w:szCs w:val="22"/>
        </w:rPr>
        <w:t>Informing the consulted authorities and the public about programme approval</w:t>
      </w:r>
    </w:p>
    <w:p w:rsidR="006353E5" w:rsidRPr="009C57E8" w:rsidRDefault="006353E5" w:rsidP="006353E5">
      <w:pPr>
        <w:spacing w:before="120" w:after="0" w:line="264" w:lineRule="auto"/>
        <w:jc w:val="both"/>
        <w:rPr>
          <w:sz w:val="22"/>
          <w:szCs w:val="22"/>
        </w:rPr>
      </w:pPr>
      <w:r w:rsidRPr="009C57E8">
        <w:rPr>
          <w:sz w:val="22"/>
          <w:szCs w:val="22"/>
        </w:rPr>
        <w:t xml:space="preserve">According to the EC guidance, it is the responsibility of the Member State (MS) hosting the Managing Authority (MA) for the programme to determine, according to its national legislation, how to conduct the SEA process. </w:t>
      </w:r>
    </w:p>
    <w:p w:rsidR="006353E5" w:rsidRPr="009C57E8" w:rsidRDefault="006353E5" w:rsidP="006353E5">
      <w:pPr>
        <w:spacing w:before="120" w:after="0" w:line="264" w:lineRule="auto"/>
        <w:jc w:val="both"/>
        <w:rPr>
          <w:sz w:val="22"/>
          <w:szCs w:val="22"/>
        </w:rPr>
      </w:pPr>
      <w:r w:rsidRPr="009C57E8">
        <w:rPr>
          <w:sz w:val="22"/>
          <w:szCs w:val="22"/>
        </w:rPr>
        <w:t xml:space="preserve">When a screening procedure is required to determine whether the programmes will have significant environmental effects, the MA should conduct this according to its national legislation and, whenever possible, in consultation with the nominated environmental authorities in all countries participating in the programme. The screening procedure should be adapted to the needs of the particular programme and countries and should be is based on criteria set out in Annex II of the SEA Directive. </w:t>
      </w:r>
    </w:p>
    <w:p w:rsidR="006353E5" w:rsidRPr="009C57E8" w:rsidRDefault="006353E5" w:rsidP="006353E5">
      <w:pPr>
        <w:spacing w:before="120" w:after="0" w:line="264" w:lineRule="auto"/>
        <w:jc w:val="both"/>
        <w:rPr>
          <w:sz w:val="22"/>
          <w:szCs w:val="22"/>
        </w:rPr>
      </w:pPr>
      <w:r w:rsidRPr="009C57E8">
        <w:rPr>
          <w:sz w:val="22"/>
          <w:szCs w:val="22"/>
        </w:rPr>
        <w:t>If the screening concludes that a full SEA is not necessary based on the criteria of Annex II of the SEA Directive, a statement confirming that the SEA is not applicable, and a note on the screening conclusions explaining the reasons for not requiring a SEA, need to be published and included in the JOP.</w:t>
      </w:r>
    </w:p>
    <w:p w:rsidR="006353E5" w:rsidRPr="009C57E8" w:rsidRDefault="006353E5" w:rsidP="00937D8E">
      <w:pPr>
        <w:spacing w:before="120" w:after="0" w:line="264" w:lineRule="auto"/>
        <w:jc w:val="both"/>
        <w:rPr>
          <w:sz w:val="22"/>
          <w:szCs w:val="22"/>
        </w:rPr>
      </w:pPr>
    </w:p>
    <w:p w:rsidR="006B0A28" w:rsidRPr="009C57E8" w:rsidRDefault="00B13609" w:rsidP="00B13609">
      <w:pPr>
        <w:pStyle w:val="Heading1"/>
        <w:numPr>
          <w:ilvl w:val="0"/>
          <w:numId w:val="3"/>
        </w:numPr>
        <w:spacing w:before="120" w:after="0" w:line="264" w:lineRule="auto"/>
        <w:jc w:val="left"/>
        <w:rPr>
          <w:rFonts w:asciiTheme="minorHAnsi" w:hAnsiTheme="minorHAnsi" w:cs="Calibri"/>
          <w:sz w:val="28"/>
        </w:rPr>
      </w:pPr>
      <w:bookmarkStart w:id="5" w:name="_Toc423427681"/>
      <w:r w:rsidRPr="009C57E8">
        <w:rPr>
          <w:rFonts w:asciiTheme="minorHAnsi" w:hAnsiTheme="minorHAnsi" w:cs="Calibri"/>
          <w:sz w:val="28"/>
        </w:rPr>
        <w:t>Legal requirements in the MS hosting the MA – Romania</w:t>
      </w:r>
      <w:bookmarkEnd w:id="5"/>
    </w:p>
    <w:p w:rsidR="006353E5" w:rsidRPr="009C57E8" w:rsidRDefault="006353E5" w:rsidP="006353E5">
      <w:pPr>
        <w:spacing w:before="120" w:after="0" w:line="264" w:lineRule="auto"/>
        <w:jc w:val="both"/>
        <w:rPr>
          <w:sz w:val="22"/>
          <w:szCs w:val="22"/>
        </w:rPr>
      </w:pPr>
      <w:r w:rsidRPr="009C57E8">
        <w:rPr>
          <w:sz w:val="22"/>
          <w:szCs w:val="22"/>
        </w:rPr>
        <w:t>The MA for the Black Sea Basin is the Romanian Ministry of Regional Development and Public Administration (MDRAP), Directorate for MA European Territorial Cooperation Programmes. The responsible environmental authority in Romania is the Ministry of Environment, Water and Forests (formerly Ministry of Environment and Climate Change).</w:t>
      </w:r>
    </w:p>
    <w:p w:rsidR="006353E5" w:rsidRPr="009C57E8" w:rsidRDefault="006353E5" w:rsidP="006353E5">
      <w:pPr>
        <w:spacing w:before="120" w:after="0" w:line="264" w:lineRule="auto"/>
        <w:jc w:val="both"/>
        <w:rPr>
          <w:sz w:val="22"/>
          <w:szCs w:val="22"/>
        </w:rPr>
      </w:pPr>
      <w:r w:rsidRPr="009C57E8">
        <w:rPr>
          <w:sz w:val="22"/>
          <w:szCs w:val="22"/>
        </w:rPr>
        <w:t>According to current practice in Romania, the assessment of such programmes is conducted in line with the requirements of the SEA Directive. The procedure for such assessment is adapted by the Ministry of Environment, Water and Forests (</w:t>
      </w:r>
      <w:proofErr w:type="spellStart"/>
      <w:r w:rsidRPr="009C57E8">
        <w:rPr>
          <w:sz w:val="22"/>
          <w:szCs w:val="22"/>
        </w:rPr>
        <w:t>MoE</w:t>
      </w:r>
      <w:proofErr w:type="spellEnd"/>
      <w:r w:rsidRPr="009C57E8">
        <w:rPr>
          <w:sz w:val="22"/>
          <w:szCs w:val="22"/>
        </w:rPr>
        <w:t>), on a case by case basis, according to the SEA Directive and the Government Decision establishing the procedure for the environmental assessment of plans and programmes (</w:t>
      </w:r>
      <w:proofErr w:type="spellStart"/>
      <w:r w:rsidRPr="009C57E8">
        <w:rPr>
          <w:sz w:val="22"/>
          <w:szCs w:val="22"/>
        </w:rPr>
        <w:t>Hot</w:t>
      </w:r>
      <w:r w:rsidRPr="009C57E8">
        <w:rPr>
          <w:rFonts w:ascii="Times New Roman" w:hAnsi="Times New Roman" w:cs="Times New Roman"/>
          <w:sz w:val="22"/>
          <w:szCs w:val="22"/>
        </w:rPr>
        <w:t>ă</w:t>
      </w:r>
      <w:r w:rsidRPr="009C57E8">
        <w:rPr>
          <w:sz w:val="22"/>
          <w:szCs w:val="22"/>
        </w:rPr>
        <w:t>r</w:t>
      </w:r>
      <w:r w:rsidRPr="009C57E8">
        <w:rPr>
          <w:rFonts w:ascii="Calisto MT" w:hAnsi="Calisto MT" w:cs="Calisto MT"/>
          <w:sz w:val="22"/>
          <w:szCs w:val="22"/>
        </w:rPr>
        <w:t>â</w:t>
      </w:r>
      <w:r w:rsidRPr="009C57E8">
        <w:rPr>
          <w:sz w:val="22"/>
          <w:szCs w:val="22"/>
        </w:rPr>
        <w:t>rea</w:t>
      </w:r>
      <w:proofErr w:type="spellEnd"/>
      <w:r w:rsidRPr="009C57E8">
        <w:rPr>
          <w:sz w:val="22"/>
          <w:szCs w:val="22"/>
        </w:rPr>
        <w:t xml:space="preserve"> </w:t>
      </w:r>
      <w:proofErr w:type="spellStart"/>
      <w:r w:rsidRPr="009C57E8">
        <w:rPr>
          <w:sz w:val="22"/>
          <w:szCs w:val="22"/>
        </w:rPr>
        <w:t>Guvernului</w:t>
      </w:r>
      <w:proofErr w:type="spellEnd"/>
      <w:r w:rsidRPr="009C57E8">
        <w:rPr>
          <w:sz w:val="22"/>
          <w:szCs w:val="22"/>
        </w:rPr>
        <w:t xml:space="preserve"> nr. 1076/2004, Government Decision).</w:t>
      </w:r>
    </w:p>
    <w:p w:rsidR="004828D0" w:rsidRDefault="004828D0">
      <w:pPr>
        <w:rPr>
          <w:sz w:val="22"/>
          <w:szCs w:val="22"/>
        </w:rPr>
      </w:pPr>
      <w:r>
        <w:rPr>
          <w:sz w:val="22"/>
          <w:szCs w:val="22"/>
        </w:rPr>
        <w:br w:type="page"/>
      </w:r>
    </w:p>
    <w:p w:rsidR="006353E5" w:rsidRPr="004828D0" w:rsidRDefault="006353E5" w:rsidP="006353E5">
      <w:pPr>
        <w:spacing w:before="120" w:after="0" w:line="264" w:lineRule="auto"/>
        <w:jc w:val="both"/>
        <w:rPr>
          <w:sz w:val="2"/>
          <w:szCs w:val="2"/>
        </w:rPr>
      </w:pPr>
    </w:p>
    <w:p w:rsidR="004A15C7" w:rsidRPr="009C57E8" w:rsidRDefault="00395FC2" w:rsidP="00395FC2">
      <w:pPr>
        <w:pStyle w:val="Heading1"/>
        <w:numPr>
          <w:ilvl w:val="0"/>
          <w:numId w:val="3"/>
        </w:numPr>
        <w:spacing w:before="120" w:after="0" w:line="264" w:lineRule="auto"/>
        <w:jc w:val="left"/>
        <w:rPr>
          <w:rFonts w:asciiTheme="minorHAnsi" w:hAnsiTheme="minorHAnsi" w:cs="Calibri"/>
          <w:sz w:val="28"/>
        </w:rPr>
      </w:pPr>
      <w:bookmarkStart w:id="6" w:name="_Toc423427682"/>
      <w:r w:rsidRPr="009C57E8">
        <w:rPr>
          <w:rFonts w:asciiTheme="minorHAnsi" w:hAnsiTheme="minorHAnsi" w:cs="Calibri"/>
          <w:sz w:val="28"/>
        </w:rPr>
        <w:t>SEA process for the Black Sea Basin ENI CBC programme 2014-2020</w:t>
      </w:r>
      <w:bookmarkEnd w:id="6"/>
    </w:p>
    <w:p w:rsidR="00456958" w:rsidRPr="009C57E8" w:rsidRDefault="00456958" w:rsidP="00456958">
      <w:pPr>
        <w:spacing w:before="120" w:after="0" w:line="264" w:lineRule="auto"/>
        <w:jc w:val="both"/>
        <w:rPr>
          <w:sz w:val="22"/>
          <w:szCs w:val="22"/>
        </w:rPr>
      </w:pPr>
      <w:r w:rsidRPr="009C57E8">
        <w:rPr>
          <w:sz w:val="22"/>
          <w:szCs w:val="22"/>
        </w:rPr>
        <w:t xml:space="preserve">A meeting between the MA and the </w:t>
      </w:r>
      <w:proofErr w:type="spellStart"/>
      <w:r w:rsidRPr="009C57E8">
        <w:rPr>
          <w:sz w:val="22"/>
          <w:szCs w:val="22"/>
        </w:rPr>
        <w:t>MoE</w:t>
      </w:r>
      <w:proofErr w:type="spellEnd"/>
      <w:r w:rsidRPr="009C57E8">
        <w:rPr>
          <w:sz w:val="22"/>
          <w:szCs w:val="22"/>
        </w:rPr>
        <w:t xml:space="preserve">, along with experts from the EU project, ENI CBC Support to the preparation of Programmes (SPP), was held in Bucharest on 21 October 2014 to discuss the procedure to be followed for the BSB programme in order to fulfil the requirements of the SEA Directive. In the case of the BSB programme, it was decided to conduct a screening process on whether there are likely to be significant environmental effects in the eligible regions in Romania and to consult the environmental authorities in the participating countries. </w:t>
      </w:r>
    </w:p>
    <w:p w:rsidR="00456958" w:rsidRPr="009C57E8" w:rsidRDefault="00456958" w:rsidP="00456958">
      <w:pPr>
        <w:spacing w:before="120" w:after="0" w:line="264" w:lineRule="auto"/>
        <w:jc w:val="both"/>
        <w:rPr>
          <w:sz w:val="22"/>
          <w:szCs w:val="22"/>
        </w:rPr>
      </w:pPr>
      <w:r w:rsidRPr="009C57E8">
        <w:rPr>
          <w:sz w:val="22"/>
          <w:szCs w:val="22"/>
        </w:rPr>
        <w:t xml:space="preserve">The National Authorities (NA) in each country nominated representatives of the relevant environmental authorities in their countries and the MA asked SPP to consult these representatives on their behalf (see Attachment 1 for the list of nominated representatives and national environmental authorities). </w:t>
      </w:r>
    </w:p>
    <w:p w:rsidR="00456958" w:rsidRPr="009C57E8" w:rsidRDefault="00456958" w:rsidP="00456958">
      <w:pPr>
        <w:spacing w:before="120" w:after="0" w:line="264" w:lineRule="auto"/>
        <w:jc w:val="both"/>
        <w:rPr>
          <w:sz w:val="22"/>
          <w:szCs w:val="22"/>
        </w:rPr>
      </w:pPr>
      <w:r w:rsidRPr="009C57E8">
        <w:rPr>
          <w:sz w:val="22"/>
          <w:szCs w:val="22"/>
        </w:rPr>
        <w:t xml:space="preserve">In addition to consulting participating countries, together with the MA and the Romanian </w:t>
      </w:r>
      <w:proofErr w:type="spellStart"/>
      <w:r w:rsidRPr="009C57E8">
        <w:rPr>
          <w:sz w:val="22"/>
          <w:szCs w:val="22"/>
        </w:rPr>
        <w:t>MoE</w:t>
      </w:r>
      <w:proofErr w:type="spellEnd"/>
      <w:r w:rsidRPr="009C57E8">
        <w:rPr>
          <w:sz w:val="22"/>
          <w:szCs w:val="22"/>
        </w:rPr>
        <w:t>, support by the SPP project included:</w:t>
      </w:r>
    </w:p>
    <w:p w:rsidR="00456958" w:rsidRPr="009C57E8" w:rsidRDefault="00456958" w:rsidP="00456958">
      <w:pPr>
        <w:pStyle w:val="ListParagraph"/>
        <w:numPr>
          <w:ilvl w:val="0"/>
          <w:numId w:val="50"/>
        </w:numPr>
        <w:spacing w:before="120" w:after="0" w:line="264" w:lineRule="auto"/>
        <w:jc w:val="both"/>
        <w:rPr>
          <w:sz w:val="22"/>
          <w:szCs w:val="22"/>
        </w:rPr>
      </w:pPr>
      <w:r w:rsidRPr="009C57E8">
        <w:rPr>
          <w:sz w:val="22"/>
          <w:szCs w:val="22"/>
        </w:rPr>
        <w:t>A review of programme strategy and indicative activities against relevant Romanian legislation to determine if a SEA is compulsory</w:t>
      </w:r>
    </w:p>
    <w:p w:rsidR="00456958" w:rsidRPr="009C57E8" w:rsidRDefault="00456958" w:rsidP="00456958">
      <w:pPr>
        <w:pStyle w:val="ListParagraph"/>
        <w:numPr>
          <w:ilvl w:val="0"/>
          <w:numId w:val="50"/>
        </w:numPr>
        <w:spacing w:before="120" w:after="0" w:line="264" w:lineRule="auto"/>
        <w:jc w:val="both"/>
        <w:rPr>
          <w:sz w:val="22"/>
          <w:szCs w:val="22"/>
        </w:rPr>
      </w:pPr>
      <w:r w:rsidRPr="009C57E8">
        <w:rPr>
          <w:sz w:val="22"/>
          <w:szCs w:val="22"/>
        </w:rPr>
        <w:t xml:space="preserve">The conduct of a screening process (according to Annex </w:t>
      </w:r>
      <w:proofErr w:type="spellStart"/>
      <w:r w:rsidRPr="009C57E8">
        <w:rPr>
          <w:sz w:val="22"/>
          <w:szCs w:val="22"/>
        </w:rPr>
        <w:t>ll</w:t>
      </w:r>
      <w:proofErr w:type="spellEnd"/>
      <w:r w:rsidRPr="009C57E8">
        <w:rPr>
          <w:sz w:val="22"/>
          <w:szCs w:val="22"/>
        </w:rPr>
        <w:t xml:space="preserve"> of the SEA Directive) to determine whether future projects are likely to have a significant environmental effects </w:t>
      </w:r>
    </w:p>
    <w:p w:rsidR="00456958" w:rsidRPr="009C57E8" w:rsidRDefault="00456958" w:rsidP="00456958">
      <w:pPr>
        <w:pStyle w:val="ListParagraph"/>
        <w:numPr>
          <w:ilvl w:val="0"/>
          <w:numId w:val="50"/>
        </w:numPr>
        <w:spacing w:before="120" w:after="0" w:line="264" w:lineRule="auto"/>
        <w:jc w:val="both"/>
        <w:rPr>
          <w:sz w:val="22"/>
          <w:szCs w:val="22"/>
        </w:rPr>
      </w:pPr>
      <w:r w:rsidRPr="009C57E8">
        <w:rPr>
          <w:sz w:val="22"/>
          <w:szCs w:val="22"/>
        </w:rPr>
        <w:t>Preparation of this report on the screening process, conclusions of the screening process and reasons for these conclusions.</w:t>
      </w:r>
    </w:p>
    <w:p w:rsidR="00456958" w:rsidRPr="009C57E8" w:rsidRDefault="00456958" w:rsidP="00456958">
      <w:pPr>
        <w:spacing w:before="120" w:after="0" w:line="264" w:lineRule="auto"/>
        <w:jc w:val="both"/>
        <w:rPr>
          <w:sz w:val="22"/>
          <w:szCs w:val="22"/>
        </w:rPr>
      </w:pPr>
      <w:r w:rsidRPr="009C57E8">
        <w:rPr>
          <w:sz w:val="22"/>
          <w:szCs w:val="22"/>
        </w:rPr>
        <w:t>See Attachment 2 for the outline of the SEA process.</w:t>
      </w:r>
    </w:p>
    <w:p w:rsidR="006B0A28" w:rsidRPr="009C57E8" w:rsidRDefault="002B14AE" w:rsidP="002B14AE">
      <w:pPr>
        <w:pStyle w:val="Heading3"/>
        <w:numPr>
          <w:ilvl w:val="0"/>
          <w:numId w:val="23"/>
        </w:numPr>
        <w:spacing w:before="120" w:line="264" w:lineRule="auto"/>
        <w:rPr>
          <w:rFonts w:asciiTheme="minorHAnsi" w:hAnsiTheme="minorHAnsi" w:cs="Calibri"/>
        </w:rPr>
      </w:pPr>
      <w:bookmarkStart w:id="7" w:name="_Toc423427683"/>
      <w:r w:rsidRPr="009C57E8">
        <w:rPr>
          <w:rFonts w:asciiTheme="minorHAnsi" w:hAnsiTheme="minorHAnsi" w:cs="Calibri"/>
        </w:rPr>
        <w:t>BSB SEA process in Romania</w:t>
      </w:r>
      <w:bookmarkEnd w:id="7"/>
    </w:p>
    <w:p w:rsidR="00672C59" w:rsidRPr="009C57E8" w:rsidRDefault="00672C59" w:rsidP="00672C59">
      <w:pPr>
        <w:spacing w:before="120" w:after="0" w:line="264" w:lineRule="auto"/>
        <w:jc w:val="both"/>
        <w:rPr>
          <w:sz w:val="22"/>
          <w:szCs w:val="22"/>
        </w:rPr>
      </w:pPr>
      <w:r w:rsidRPr="009C57E8">
        <w:rPr>
          <w:sz w:val="22"/>
          <w:szCs w:val="22"/>
        </w:rPr>
        <w:t>The process followed in Romania was as follows:</w:t>
      </w:r>
    </w:p>
    <w:p w:rsidR="00672C59" w:rsidRPr="009C57E8" w:rsidRDefault="00672C59" w:rsidP="00672C59">
      <w:pPr>
        <w:numPr>
          <w:ilvl w:val="0"/>
          <w:numId w:val="44"/>
        </w:numPr>
        <w:spacing w:before="120" w:after="0" w:line="264" w:lineRule="auto"/>
        <w:jc w:val="both"/>
        <w:rPr>
          <w:sz w:val="22"/>
          <w:szCs w:val="22"/>
        </w:rPr>
      </w:pPr>
      <w:r w:rsidRPr="009C57E8">
        <w:rPr>
          <w:sz w:val="22"/>
          <w:szCs w:val="22"/>
        </w:rPr>
        <w:t xml:space="preserve">A committee was established for the assessment of the potential environmental effects of the BSB programme in the eligible regions in Romania (hereafter, the Screening Committee), including representatives of the following relevant organisations as proposed by the </w:t>
      </w:r>
      <w:proofErr w:type="spellStart"/>
      <w:r w:rsidRPr="009C57E8">
        <w:rPr>
          <w:sz w:val="22"/>
          <w:szCs w:val="22"/>
        </w:rPr>
        <w:t>MoE</w:t>
      </w:r>
      <w:proofErr w:type="spellEnd"/>
      <w:r w:rsidRPr="009C57E8">
        <w:rPr>
          <w:sz w:val="22"/>
          <w:szCs w:val="22"/>
        </w:rPr>
        <w:t xml:space="preserve">: Ministry of Health, National Administration for Waters, Ministry of Internal Affairs (General Inspectorate for Emergency Situations), Ministry of European Funds, Ministry of Agriculture and Rural Development, Ministry of Transport, Department for SMEs, Business Environment and Tourism and public authorities from the eligible regions. </w:t>
      </w:r>
    </w:p>
    <w:p w:rsidR="00672C59" w:rsidRPr="009C57E8" w:rsidRDefault="00672C59" w:rsidP="00672C59">
      <w:pPr>
        <w:numPr>
          <w:ilvl w:val="0"/>
          <w:numId w:val="44"/>
        </w:numPr>
        <w:spacing w:before="120" w:after="0" w:line="264" w:lineRule="auto"/>
        <w:jc w:val="both"/>
        <w:rPr>
          <w:sz w:val="22"/>
          <w:szCs w:val="22"/>
        </w:rPr>
      </w:pPr>
      <w:r w:rsidRPr="009C57E8">
        <w:rPr>
          <w:sz w:val="22"/>
          <w:szCs w:val="22"/>
        </w:rPr>
        <w:t xml:space="preserve">The main tasks of the Screening Committee comprised (i) screening of the BSB programme, taking into account relevant criteria set out in Annex Nr. 1 of the Government Decision (Annex II of the SEA Directive); (ii) making a conclusion on the need for a full environmental assessment. </w:t>
      </w:r>
    </w:p>
    <w:p w:rsidR="00672C59" w:rsidRPr="009C57E8" w:rsidRDefault="00672C59" w:rsidP="00672C59">
      <w:pPr>
        <w:numPr>
          <w:ilvl w:val="0"/>
          <w:numId w:val="44"/>
        </w:numPr>
        <w:spacing w:before="120" w:after="0" w:line="264" w:lineRule="auto"/>
        <w:jc w:val="both"/>
        <w:rPr>
          <w:sz w:val="22"/>
          <w:szCs w:val="22"/>
        </w:rPr>
      </w:pPr>
      <w:r w:rsidRPr="009C57E8">
        <w:rPr>
          <w:sz w:val="22"/>
          <w:szCs w:val="22"/>
        </w:rPr>
        <w:t xml:space="preserve">The start of the screening procedure was announced on the MDRAP and programme websites (11&amp;12 December 2014) and also via a notice in the </w:t>
      </w:r>
      <w:proofErr w:type="spellStart"/>
      <w:r w:rsidRPr="009C57E8">
        <w:rPr>
          <w:i/>
          <w:sz w:val="22"/>
          <w:szCs w:val="22"/>
        </w:rPr>
        <w:t>România</w:t>
      </w:r>
      <w:proofErr w:type="spellEnd"/>
      <w:r w:rsidRPr="009C57E8">
        <w:rPr>
          <w:i/>
          <w:sz w:val="22"/>
          <w:szCs w:val="22"/>
        </w:rPr>
        <w:t xml:space="preserve"> </w:t>
      </w:r>
      <w:proofErr w:type="spellStart"/>
      <w:r w:rsidRPr="009C57E8">
        <w:rPr>
          <w:i/>
          <w:sz w:val="22"/>
          <w:szCs w:val="22"/>
        </w:rPr>
        <w:t>Liber</w:t>
      </w:r>
      <w:r w:rsidRPr="009C57E8">
        <w:rPr>
          <w:rFonts w:ascii="Times New Roman" w:hAnsi="Times New Roman" w:cs="Times New Roman"/>
          <w:i/>
          <w:sz w:val="22"/>
          <w:szCs w:val="22"/>
        </w:rPr>
        <w:t>ă</w:t>
      </w:r>
      <w:proofErr w:type="spellEnd"/>
      <w:r w:rsidRPr="009C57E8">
        <w:rPr>
          <w:sz w:val="22"/>
          <w:szCs w:val="22"/>
        </w:rPr>
        <w:t xml:space="preserve"> national newspaper (on 16&amp;19 December 2014). In these announcements, the public was invited to comment on whether the programme was likely to have a significant impact on the environment in the eligible regions</w:t>
      </w:r>
      <w:r w:rsidRPr="009C57E8">
        <w:rPr>
          <w:sz w:val="22"/>
          <w:szCs w:val="22"/>
          <w:vertAlign w:val="superscript"/>
        </w:rPr>
        <w:footnoteReference w:id="2"/>
      </w:r>
      <w:r w:rsidRPr="009C57E8">
        <w:rPr>
          <w:sz w:val="22"/>
          <w:szCs w:val="22"/>
        </w:rPr>
        <w:t xml:space="preserve">. The draft programme strategy was made available on the </w:t>
      </w:r>
      <w:proofErr w:type="spellStart"/>
      <w:r w:rsidRPr="009C57E8">
        <w:rPr>
          <w:bCs/>
          <w:sz w:val="22"/>
          <w:szCs w:val="22"/>
        </w:rPr>
        <w:t>MoE</w:t>
      </w:r>
      <w:proofErr w:type="spellEnd"/>
      <w:r w:rsidRPr="009C57E8">
        <w:rPr>
          <w:bCs/>
          <w:sz w:val="22"/>
          <w:szCs w:val="22"/>
        </w:rPr>
        <w:t>, MDRAP and programme</w:t>
      </w:r>
      <w:r w:rsidRPr="009C57E8">
        <w:rPr>
          <w:sz w:val="22"/>
          <w:szCs w:val="22"/>
        </w:rPr>
        <w:t xml:space="preserve"> websites.  </w:t>
      </w:r>
    </w:p>
    <w:p w:rsidR="00672C59" w:rsidRPr="009C57E8" w:rsidRDefault="00672C59" w:rsidP="00672C59">
      <w:pPr>
        <w:numPr>
          <w:ilvl w:val="0"/>
          <w:numId w:val="44"/>
        </w:numPr>
        <w:spacing w:before="120" w:after="0" w:line="264" w:lineRule="auto"/>
        <w:jc w:val="both"/>
        <w:rPr>
          <w:sz w:val="22"/>
          <w:szCs w:val="22"/>
        </w:rPr>
      </w:pPr>
      <w:r w:rsidRPr="009C57E8">
        <w:rPr>
          <w:sz w:val="22"/>
          <w:szCs w:val="22"/>
        </w:rPr>
        <w:t xml:space="preserve">A meeting of the Screening Committee was held and chaired by </w:t>
      </w:r>
      <w:proofErr w:type="spellStart"/>
      <w:r w:rsidRPr="009C57E8">
        <w:rPr>
          <w:sz w:val="22"/>
          <w:szCs w:val="22"/>
        </w:rPr>
        <w:t>MoE</w:t>
      </w:r>
      <w:proofErr w:type="spellEnd"/>
      <w:r w:rsidRPr="009C57E8">
        <w:rPr>
          <w:sz w:val="22"/>
          <w:szCs w:val="22"/>
        </w:rPr>
        <w:t xml:space="preserve"> on 15 December 2014. Participants included most of the institutions mentioned above, the </w:t>
      </w:r>
      <w:proofErr w:type="spellStart"/>
      <w:r w:rsidRPr="009C57E8">
        <w:rPr>
          <w:sz w:val="22"/>
          <w:szCs w:val="22"/>
        </w:rPr>
        <w:t>MoE</w:t>
      </w:r>
      <w:proofErr w:type="spellEnd"/>
      <w:r w:rsidRPr="009C57E8">
        <w:rPr>
          <w:sz w:val="22"/>
          <w:szCs w:val="22"/>
        </w:rPr>
        <w:t xml:space="preserve">, the MA and SPP experts. Documents given to the Screening Committee members included: </w:t>
      </w:r>
    </w:p>
    <w:p w:rsidR="00672C59" w:rsidRPr="009C57E8" w:rsidRDefault="00672C59" w:rsidP="00672C59">
      <w:pPr>
        <w:numPr>
          <w:ilvl w:val="0"/>
          <w:numId w:val="45"/>
        </w:numPr>
        <w:spacing w:before="120" w:after="0" w:line="264" w:lineRule="auto"/>
        <w:jc w:val="both"/>
        <w:rPr>
          <w:sz w:val="22"/>
          <w:szCs w:val="22"/>
        </w:rPr>
      </w:pPr>
      <w:r w:rsidRPr="009C57E8">
        <w:rPr>
          <w:sz w:val="22"/>
          <w:szCs w:val="22"/>
        </w:rPr>
        <w:t>Latest draft of the programme strategy as approved at the BSB Joint Programming Committee meeting held in November 2014</w:t>
      </w:r>
    </w:p>
    <w:p w:rsidR="00672C59" w:rsidRPr="009C57E8" w:rsidRDefault="00672C59" w:rsidP="00672C59">
      <w:pPr>
        <w:numPr>
          <w:ilvl w:val="0"/>
          <w:numId w:val="45"/>
        </w:numPr>
        <w:spacing w:before="120" w:after="0" w:line="264" w:lineRule="auto"/>
        <w:jc w:val="both"/>
        <w:rPr>
          <w:sz w:val="22"/>
          <w:szCs w:val="22"/>
        </w:rPr>
      </w:pPr>
      <w:r w:rsidRPr="009C57E8">
        <w:rPr>
          <w:sz w:val="22"/>
          <w:szCs w:val="22"/>
        </w:rPr>
        <w:lastRenderedPageBreak/>
        <w:t>EC - INTERACT ENPI Guidance Note on SEA in the context of ENI CBC, accompanying annex on actors and actions and EC letter to JPC members, June 2014</w:t>
      </w:r>
    </w:p>
    <w:p w:rsidR="00672C59" w:rsidRPr="009C57E8" w:rsidRDefault="00672C59" w:rsidP="00672C59">
      <w:pPr>
        <w:numPr>
          <w:ilvl w:val="0"/>
          <w:numId w:val="45"/>
        </w:numPr>
        <w:spacing w:before="120" w:after="0" w:line="264" w:lineRule="auto"/>
        <w:jc w:val="both"/>
        <w:rPr>
          <w:sz w:val="22"/>
          <w:szCs w:val="22"/>
        </w:rPr>
      </w:pPr>
      <w:r w:rsidRPr="009C57E8">
        <w:rPr>
          <w:sz w:val="22"/>
          <w:szCs w:val="22"/>
        </w:rPr>
        <w:t xml:space="preserve">Minutes of the meeting between the MA and </w:t>
      </w:r>
      <w:proofErr w:type="spellStart"/>
      <w:r w:rsidRPr="009C57E8">
        <w:rPr>
          <w:sz w:val="22"/>
          <w:szCs w:val="22"/>
        </w:rPr>
        <w:t>MoE</w:t>
      </w:r>
      <w:proofErr w:type="spellEnd"/>
      <w:r w:rsidRPr="009C57E8">
        <w:rPr>
          <w:sz w:val="22"/>
          <w:szCs w:val="22"/>
        </w:rPr>
        <w:t xml:space="preserve"> held in October 2014</w:t>
      </w:r>
    </w:p>
    <w:p w:rsidR="00672C59" w:rsidRPr="009C57E8" w:rsidRDefault="00672C59" w:rsidP="00672C59">
      <w:pPr>
        <w:numPr>
          <w:ilvl w:val="0"/>
          <w:numId w:val="45"/>
        </w:numPr>
        <w:spacing w:before="120" w:after="0" w:line="264" w:lineRule="auto"/>
        <w:jc w:val="both"/>
        <w:rPr>
          <w:sz w:val="22"/>
          <w:szCs w:val="22"/>
        </w:rPr>
      </w:pPr>
      <w:r w:rsidRPr="009C57E8">
        <w:rPr>
          <w:sz w:val="22"/>
          <w:szCs w:val="22"/>
        </w:rPr>
        <w:t xml:space="preserve">The preliminary assessment by the SPP SEA expert on whether the programme is likely to have a significant environmental effect (conducted according to the criteria in Annex II of the SEA Directive see Attachment 2). </w:t>
      </w:r>
    </w:p>
    <w:p w:rsidR="00672C59" w:rsidRPr="009C57E8" w:rsidRDefault="00672C59" w:rsidP="00672C59">
      <w:pPr>
        <w:numPr>
          <w:ilvl w:val="0"/>
          <w:numId w:val="44"/>
        </w:numPr>
        <w:spacing w:before="120" w:after="0" w:line="264" w:lineRule="auto"/>
        <w:jc w:val="both"/>
        <w:rPr>
          <w:sz w:val="22"/>
          <w:szCs w:val="22"/>
        </w:rPr>
      </w:pPr>
      <w:r w:rsidRPr="009C57E8">
        <w:rPr>
          <w:sz w:val="22"/>
          <w:szCs w:val="22"/>
        </w:rPr>
        <w:t xml:space="preserve">At the meeting, the MA presented the BSB programme strategy, the SPP SEA expert presented his initial assessment of the likely environmental effects of the programme and other meeting participants gave their opinion on whether it was likely the programme would have significant environmental effects in the eligible regions in Romania. </w:t>
      </w:r>
    </w:p>
    <w:p w:rsidR="00672C59" w:rsidRPr="00424B40" w:rsidRDefault="00672C59" w:rsidP="00672C59">
      <w:pPr>
        <w:numPr>
          <w:ilvl w:val="0"/>
          <w:numId w:val="46"/>
        </w:numPr>
        <w:spacing w:before="120" w:after="0" w:line="264" w:lineRule="auto"/>
        <w:jc w:val="both"/>
        <w:rPr>
          <w:sz w:val="22"/>
          <w:szCs w:val="22"/>
        </w:rPr>
      </w:pPr>
      <w:r w:rsidRPr="00424B40">
        <w:rPr>
          <w:sz w:val="22"/>
          <w:szCs w:val="22"/>
        </w:rPr>
        <w:t xml:space="preserve">The draft decision was published on the </w:t>
      </w:r>
      <w:proofErr w:type="spellStart"/>
      <w:r w:rsidRPr="00424B40">
        <w:rPr>
          <w:sz w:val="22"/>
          <w:szCs w:val="22"/>
        </w:rPr>
        <w:t>MoE</w:t>
      </w:r>
      <w:proofErr w:type="spellEnd"/>
      <w:r w:rsidRPr="00424B40">
        <w:rPr>
          <w:sz w:val="22"/>
          <w:szCs w:val="22"/>
        </w:rPr>
        <w:t xml:space="preserve"> and MDRAP websites on 6 January 2015 and the public were invited to send comments until 15 January 2015. The draft decision concluded: “</w:t>
      </w:r>
      <w:r w:rsidRPr="00424B40">
        <w:rPr>
          <w:i/>
          <w:iCs/>
          <w:sz w:val="22"/>
          <w:szCs w:val="22"/>
        </w:rPr>
        <w:t xml:space="preserve">As a consequence, according with the provisions of art. 3 par.(7) of the SEA Directive, the Ministry of Environment, Water and Forests </w:t>
      </w:r>
      <w:r w:rsidRPr="00424B40">
        <w:rPr>
          <w:bCs/>
          <w:i/>
          <w:iCs/>
          <w:sz w:val="22"/>
          <w:szCs w:val="22"/>
        </w:rPr>
        <w:t>decides that environmental assessment is not required</w:t>
      </w:r>
      <w:r w:rsidRPr="00424B40">
        <w:rPr>
          <w:i/>
          <w:iCs/>
          <w:sz w:val="22"/>
          <w:szCs w:val="22"/>
        </w:rPr>
        <w:t xml:space="preserve"> pursuant to art.5 of the SEA Directive </w:t>
      </w:r>
      <w:r w:rsidRPr="00424B40">
        <w:rPr>
          <w:bCs/>
          <w:i/>
          <w:iCs/>
          <w:sz w:val="22"/>
          <w:szCs w:val="22"/>
        </w:rPr>
        <w:t>for the ENI CBC Black Sea Basin Programme 2014-2020</w:t>
      </w:r>
      <w:r w:rsidRPr="00424B40">
        <w:rPr>
          <w:i/>
          <w:iCs/>
          <w:sz w:val="22"/>
          <w:szCs w:val="22"/>
        </w:rPr>
        <w:t>.”</w:t>
      </w:r>
      <w:r w:rsidRPr="00424B40">
        <w:rPr>
          <w:iCs/>
          <w:sz w:val="22"/>
          <w:szCs w:val="22"/>
        </w:rPr>
        <w:t xml:space="preserve"> </w:t>
      </w:r>
      <w:r w:rsidR="00424B40" w:rsidRPr="00424B40">
        <w:rPr>
          <w:iCs/>
          <w:sz w:val="22"/>
          <w:szCs w:val="22"/>
        </w:rPr>
        <w:t>There were no comments received from the public on the draft decision</w:t>
      </w:r>
      <w:r w:rsidR="006652DC">
        <w:rPr>
          <w:iCs/>
          <w:sz w:val="22"/>
          <w:szCs w:val="22"/>
        </w:rPr>
        <w:t>.</w:t>
      </w:r>
    </w:p>
    <w:p w:rsidR="00672C59" w:rsidRPr="00424B40" w:rsidRDefault="00424B40" w:rsidP="003911C0">
      <w:pPr>
        <w:numPr>
          <w:ilvl w:val="0"/>
          <w:numId w:val="46"/>
        </w:numPr>
        <w:spacing w:before="120" w:after="0" w:line="264" w:lineRule="auto"/>
        <w:jc w:val="both"/>
        <w:rPr>
          <w:sz w:val="22"/>
          <w:szCs w:val="22"/>
        </w:rPr>
      </w:pPr>
      <w:r w:rsidRPr="00424B40">
        <w:rPr>
          <w:iCs/>
          <w:sz w:val="22"/>
          <w:szCs w:val="22"/>
        </w:rPr>
        <w:t xml:space="preserve">The </w:t>
      </w:r>
      <w:r w:rsidR="00672C59" w:rsidRPr="00424B40">
        <w:rPr>
          <w:iCs/>
          <w:sz w:val="22"/>
          <w:szCs w:val="22"/>
        </w:rPr>
        <w:t xml:space="preserve">final decision </w:t>
      </w:r>
      <w:r w:rsidR="00D97134" w:rsidRPr="00424B40">
        <w:rPr>
          <w:iCs/>
          <w:sz w:val="22"/>
          <w:szCs w:val="22"/>
        </w:rPr>
        <w:t>was</w:t>
      </w:r>
      <w:r w:rsidR="00672C59" w:rsidRPr="00424B40">
        <w:rPr>
          <w:iCs/>
          <w:sz w:val="22"/>
          <w:szCs w:val="22"/>
        </w:rPr>
        <w:t xml:space="preserve"> issued by the </w:t>
      </w:r>
      <w:proofErr w:type="spellStart"/>
      <w:r w:rsidR="00672C59" w:rsidRPr="00424B40">
        <w:rPr>
          <w:iCs/>
          <w:sz w:val="22"/>
          <w:szCs w:val="22"/>
        </w:rPr>
        <w:t>MoE</w:t>
      </w:r>
      <w:proofErr w:type="spellEnd"/>
      <w:r w:rsidR="00672C59" w:rsidRPr="00424B40">
        <w:rPr>
          <w:iCs/>
          <w:sz w:val="22"/>
          <w:szCs w:val="22"/>
        </w:rPr>
        <w:t xml:space="preserve"> </w:t>
      </w:r>
      <w:r w:rsidR="00D97134" w:rsidRPr="00424B40">
        <w:rPr>
          <w:iCs/>
          <w:sz w:val="22"/>
          <w:szCs w:val="22"/>
        </w:rPr>
        <w:t>on 27 January 2015</w:t>
      </w:r>
      <w:r w:rsidR="00851099">
        <w:rPr>
          <w:iCs/>
          <w:sz w:val="22"/>
          <w:szCs w:val="22"/>
        </w:rPr>
        <w:t>.</w:t>
      </w:r>
      <w:r w:rsidR="00D97134" w:rsidRPr="00424B40">
        <w:rPr>
          <w:iCs/>
          <w:sz w:val="22"/>
          <w:szCs w:val="22"/>
        </w:rPr>
        <w:t xml:space="preserve"> </w:t>
      </w:r>
      <w:r w:rsidR="00851099" w:rsidRPr="00424B40">
        <w:rPr>
          <w:iCs/>
          <w:sz w:val="22"/>
          <w:szCs w:val="22"/>
        </w:rPr>
        <w:t xml:space="preserve">See Attachment 3 for the </w:t>
      </w:r>
      <w:r w:rsidR="00851099">
        <w:rPr>
          <w:iCs/>
          <w:sz w:val="22"/>
          <w:szCs w:val="22"/>
        </w:rPr>
        <w:t>final</w:t>
      </w:r>
      <w:r w:rsidR="00851099" w:rsidRPr="00424B40">
        <w:rPr>
          <w:iCs/>
          <w:sz w:val="22"/>
          <w:szCs w:val="22"/>
        </w:rPr>
        <w:t xml:space="preserve"> decision in Romanian and English.</w:t>
      </w:r>
      <w:r w:rsidR="00851099">
        <w:rPr>
          <w:iCs/>
          <w:sz w:val="22"/>
          <w:szCs w:val="22"/>
        </w:rPr>
        <w:t xml:space="preserve"> The document is </w:t>
      </w:r>
      <w:r w:rsidR="00672C59" w:rsidRPr="00424B40">
        <w:rPr>
          <w:iCs/>
          <w:sz w:val="22"/>
          <w:szCs w:val="22"/>
        </w:rPr>
        <w:t xml:space="preserve">published on the </w:t>
      </w:r>
      <w:proofErr w:type="spellStart"/>
      <w:r w:rsidR="00672C59" w:rsidRPr="00424B40">
        <w:rPr>
          <w:bCs/>
          <w:sz w:val="22"/>
          <w:szCs w:val="22"/>
        </w:rPr>
        <w:t>MoE</w:t>
      </w:r>
      <w:proofErr w:type="spellEnd"/>
      <w:r w:rsidR="00672C59" w:rsidRPr="00424B40">
        <w:rPr>
          <w:bCs/>
          <w:sz w:val="22"/>
          <w:szCs w:val="22"/>
        </w:rPr>
        <w:t xml:space="preserve"> and MDRAP </w:t>
      </w:r>
      <w:r w:rsidR="00672C59" w:rsidRPr="00424B40">
        <w:rPr>
          <w:sz w:val="22"/>
          <w:szCs w:val="22"/>
        </w:rPr>
        <w:t>websites</w:t>
      </w:r>
      <w:r w:rsidR="00D97134" w:rsidRPr="00424B40">
        <w:rPr>
          <w:sz w:val="22"/>
          <w:szCs w:val="22"/>
        </w:rPr>
        <w:t xml:space="preserve"> together with the </w:t>
      </w:r>
      <w:r w:rsidR="00D97134" w:rsidRPr="00424B40">
        <w:rPr>
          <w:i/>
          <w:sz w:val="22"/>
          <w:szCs w:val="22"/>
        </w:rPr>
        <w:t xml:space="preserve">Note on the screening conclusions </w:t>
      </w:r>
      <w:r w:rsidR="003911C0">
        <w:rPr>
          <w:i/>
          <w:sz w:val="22"/>
          <w:szCs w:val="22"/>
        </w:rPr>
        <w:t xml:space="preserve">in the participating countries </w:t>
      </w:r>
      <w:r w:rsidR="00D97134" w:rsidRPr="00424B40">
        <w:rPr>
          <w:i/>
          <w:sz w:val="22"/>
          <w:szCs w:val="22"/>
        </w:rPr>
        <w:t>and the reasons for not requiring an environmental assessment</w:t>
      </w:r>
      <w:r w:rsidR="003911C0">
        <w:rPr>
          <w:i/>
          <w:sz w:val="22"/>
          <w:szCs w:val="22"/>
        </w:rPr>
        <w:t xml:space="preserve"> for the </w:t>
      </w:r>
      <w:r w:rsidR="003911C0" w:rsidRPr="003911C0">
        <w:rPr>
          <w:i/>
          <w:sz w:val="22"/>
          <w:szCs w:val="22"/>
        </w:rPr>
        <w:t>Black Sea Basin ENI CBC programme 2014-2020</w:t>
      </w:r>
      <w:r w:rsidR="00672C59" w:rsidRPr="00424B40">
        <w:rPr>
          <w:iCs/>
          <w:sz w:val="22"/>
          <w:szCs w:val="22"/>
        </w:rPr>
        <w:t>.</w:t>
      </w:r>
    </w:p>
    <w:p w:rsidR="006B0A28" w:rsidRPr="009C57E8" w:rsidRDefault="00D2609F" w:rsidP="00D2609F">
      <w:pPr>
        <w:pStyle w:val="Heading3"/>
        <w:numPr>
          <w:ilvl w:val="0"/>
          <w:numId w:val="23"/>
        </w:numPr>
        <w:spacing w:before="120" w:line="264" w:lineRule="auto"/>
        <w:rPr>
          <w:rFonts w:asciiTheme="minorHAnsi" w:hAnsiTheme="minorHAnsi" w:cs="Calibri"/>
        </w:rPr>
      </w:pPr>
      <w:bookmarkStart w:id="8" w:name="_Toc423427684"/>
      <w:r w:rsidRPr="009C57E8">
        <w:rPr>
          <w:rFonts w:asciiTheme="minorHAnsi" w:hAnsiTheme="minorHAnsi" w:cs="Calibri"/>
        </w:rPr>
        <w:t>Consultations with environmental authorities in the countries participating in the programme</w:t>
      </w:r>
      <w:bookmarkEnd w:id="8"/>
    </w:p>
    <w:p w:rsidR="00742E37" w:rsidRPr="009C57E8" w:rsidRDefault="00742E37" w:rsidP="00742E37">
      <w:pPr>
        <w:spacing w:before="120" w:after="0" w:line="264" w:lineRule="auto"/>
        <w:jc w:val="both"/>
        <w:rPr>
          <w:sz w:val="22"/>
          <w:szCs w:val="22"/>
        </w:rPr>
      </w:pPr>
      <w:r w:rsidRPr="009C57E8">
        <w:rPr>
          <w:sz w:val="22"/>
          <w:szCs w:val="22"/>
        </w:rPr>
        <w:t>Consultations with the environmental authorities took place from November 2014 – May 2015 with the following authorities as nominated by the NA in the participating countries (see Attachment 1 for the list of contacts and environmental bodies):</w:t>
      </w:r>
    </w:p>
    <w:p w:rsidR="00742E37" w:rsidRPr="009C57E8" w:rsidRDefault="00742E37" w:rsidP="00742E37">
      <w:pPr>
        <w:numPr>
          <w:ilvl w:val="0"/>
          <w:numId w:val="44"/>
        </w:numPr>
        <w:spacing w:before="120" w:after="0" w:line="264" w:lineRule="auto"/>
        <w:jc w:val="both"/>
        <w:rPr>
          <w:sz w:val="22"/>
          <w:szCs w:val="22"/>
        </w:rPr>
      </w:pPr>
      <w:r w:rsidRPr="009C57E8">
        <w:rPr>
          <w:sz w:val="22"/>
          <w:szCs w:val="22"/>
        </w:rPr>
        <w:t>Armenia</w:t>
      </w:r>
      <w:r w:rsidRPr="009C57E8">
        <w:rPr>
          <w:sz w:val="22"/>
          <w:szCs w:val="22"/>
        </w:rPr>
        <w:tab/>
      </w:r>
      <w:r w:rsidRPr="009C57E8">
        <w:rPr>
          <w:sz w:val="22"/>
          <w:szCs w:val="22"/>
        </w:rPr>
        <w:tab/>
        <w:t xml:space="preserve">Ministry of Nature Protection </w:t>
      </w:r>
    </w:p>
    <w:p w:rsidR="00742E37" w:rsidRPr="009C57E8" w:rsidRDefault="00742E37" w:rsidP="00742E37">
      <w:pPr>
        <w:numPr>
          <w:ilvl w:val="0"/>
          <w:numId w:val="44"/>
        </w:numPr>
        <w:spacing w:before="120" w:after="0" w:line="264" w:lineRule="auto"/>
        <w:jc w:val="both"/>
        <w:rPr>
          <w:sz w:val="22"/>
          <w:szCs w:val="22"/>
        </w:rPr>
      </w:pPr>
      <w:r w:rsidRPr="009C57E8">
        <w:rPr>
          <w:sz w:val="22"/>
          <w:szCs w:val="22"/>
        </w:rPr>
        <w:t>Bulgaria</w:t>
      </w:r>
      <w:r w:rsidRPr="009C57E8">
        <w:rPr>
          <w:sz w:val="22"/>
          <w:szCs w:val="22"/>
        </w:rPr>
        <w:tab/>
      </w:r>
      <w:r w:rsidRPr="009C57E8">
        <w:rPr>
          <w:sz w:val="22"/>
          <w:szCs w:val="22"/>
        </w:rPr>
        <w:tab/>
        <w:t>Ministry of Environment and Water</w:t>
      </w:r>
    </w:p>
    <w:p w:rsidR="00742E37" w:rsidRPr="009C57E8" w:rsidRDefault="00742E37" w:rsidP="00742E37">
      <w:pPr>
        <w:numPr>
          <w:ilvl w:val="0"/>
          <w:numId w:val="44"/>
        </w:numPr>
        <w:spacing w:before="120" w:after="0" w:line="264" w:lineRule="auto"/>
        <w:jc w:val="both"/>
        <w:rPr>
          <w:sz w:val="22"/>
          <w:szCs w:val="22"/>
        </w:rPr>
      </w:pPr>
      <w:r w:rsidRPr="009C57E8">
        <w:rPr>
          <w:sz w:val="22"/>
          <w:szCs w:val="22"/>
        </w:rPr>
        <w:t>Georgia</w:t>
      </w:r>
      <w:r w:rsidRPr="009C57E8">
        <w:rPr>
          <w:sz w:val="22"/>
          <w:szCs w:val="22"/>
        </w:rPr>
        <w:tab/>
      </w:r>
      <w:r w:rsidRPr="009C57E8">
        <w:rPr>
          <w:sz w:val="22"/>
          <w:szCs w:val="22"/>
        </w:rPr>
        <w:tab/>
        <w:t xml:space="preserve">Ministry of Environment and Natural Resources  </w:t>
      </w:r>
    </w:p>
    <w:p w:rsidR="00742E37" w:rsidRPr="009C57E8" w:rsidRDefault="00742E37" w:rsidP="00742E37">
      <w:pPr>
        <w:numPr>
          <w:ilvl w:val="0"/>
          <w:numId w:val="44"/>
        </w:numPr>
        <w:spacing w:before="120" w:after="0" w:line="264" w:lineRule="auto"/>
        <w:jc w:val="both"/>
        <w:rPr>
          <w:sz w:val="22"/>
          <w:szCs w:val="22"/>
        </w:rPr>
      </w:pPr>
      <w:r w:rsidRPr="009C57E8">
        <w:rPr>
          <w:sz w:val="22"/>
          <w:szCs w:val="22"/>
        </w:rPr>
        <w:t>Greece</w:t>
      </w:r>
      <w:r w:rsidRPr="009C57E8">
        <w:rPr>
          <w:sz w:val="22"/>
          <w:szCs w:val="22"/>
        </w:rPr>
        <w:tab/>
      </w:r>
      <w:r w:rsidRPr="009C57E8">
        <w:rPr>
          <w:sz w:val="22"/>
          <w:szCs w:val="22"/>
        </w:rPr>
        <w:tab/>
      </w:r>
      <w:r w:rsidRPr="009C57E8">
        <w:rPr>
          <w:sz w:val="22"/>
          <w:szCs w:val="22"/>
        </w:rPr>
        <w:tab/>
        <w:t>Ministry of Environment, Energy &amp; Climate Change</w:t>
      </w:r>
    </w:p>
    <w:p w:rsidR="00742E37" w:rsidRPr="009C57E8" w:rsidRDefault="00742E37" w:rsidP="00742E37">
      <w:pPr>
        <w:numPr>
          <w:ilvl w:val="0"/>
          <w:numId w:val="44"/>
        </w:numPr>
        <w:spacing w:before="120" w:after="0" w:line="264" w:lineRule="auto"/>
        <w:jc w:val="both"/>
        <w:rPr>
          <w:sz w:val="22"/>
          <w:szCs w:val="22"/>
        </w:rPr>
      </w:pPr>
      <w:r w:rsidRPr="009C57E8">
        <w:rPr>
          <w:sz w:val="22"/>
          <w:szCs w:val="22"/>
        </w:rPr>
        <w:t>Moldova</w:t>
      </w:r>
      <w:r w:rsidRPr="009C57E8">
        <w:rPr>
          <w:sz w:val="22"/>
          <w:szCs w:val="22"/>
        </w:rPr>
        <w:tab/>
      </w:r>
      <w:r w:rsidRPr="009C57E8">
        <w:rPr>
          <w:sz w:val="22"/>
          <w:szCs w:val="22"/>
        </w:rPr>
        <w:tab/>
        <w:t xml:space="preserve">Ministry of Environment </w:t>
      </w:r>
    </w:p>
    <w:p w:rsidR="00742E37" w:rsidRPr="009C57E8" w:rsidRDefault="00742E37" w:rsidP="00742E37">
      <w:pPr>
        <w:numPr>
          <w:ilvl w:val="0"/>
          <w:numId w:val="44"/>
        </w:numPr>
        <w:spacing w:before="120" w:after="0" w:line="264" w:lineRule="auto"/>
        <w:jc w:val="both"/>
        <w:rPr>
          <w:sz w:val="22"/>
          <w:szCs w:val="22"/>
        </w:rPr>
      </w:pPr>
      <w:r w:rsidRPr="009C57E8">
        <w:rPr>
          <w:sz w:val="22"/>
          <w:szCs w:val="22"/>
        </w:rPr>
        <w:t>Turkey</w:t>
      </w:r>
      <w:r w:rsidRPr="009C57E8">
        <w:rPr>
          <w:sz w:val="22"/>
          <w:szCs w:val="22"/>
        </w:rPr>
        <w:tab/>
      </w:r>
      <w:r w:rsidRPr="009C57E8">
        <w:rPr>
          <w:sz w:val="22"/>
          <w:szCs w:val="22"/>
        </w:rPr>
        <w:tab/>
      </w:r>
      <w:r w:rsidRPr="009C57E8">
        <w:rPr>
          <w:sz w:val="22"/>
          <w:szCs w:val="22"/>
        </w:rPr>
        <w:tab/>
        <w:t xml:space="preserve">Ministry of Environment and Urbanisation </w:t>
      </w:r>
    </w:p>
    <w:p w:rsidR="00742E37" w:rsidRPr="009C57E8" w:rsidRDefault="00742E37" w:rsidP="00742E37">
      <w:pPr>
        <w:numPr>
          <w:ilvl w:val="0"/>
          <w:numId w:val="44"/>
        </w:numPr>
        <w:spacing w:before="120" w:after="0" w:line="264" w:lineRule="auto"/>
        <w:jc w:val="both"/>
        <w:rPr>
          <w:sz w:val="22"/>
          <w:szCs w:val="22"/>
        </w:rPr>
      </w:pPr>
      <w:r w:rsidRPr="009C57E8">
        <w:rPr>
          <w:sz w:val="22"/>
          <w:szCs w:val="22"/>
        </w:rPr>
        <w:t>Ukraine</w:t>
      </w:r>
      <w:r w:rsidRPr="009C57E8">
        <w:rPr>
          <w:sz w:val="22"/>
          <w:szCs w:val="22"/>
        </w:rPr>
        <w:tab/>
      </w:r>
      <w:r w:rsidRPr="009C57E8">
        <w:rPr>
          <w:sz w:val="22"/>
          <w:szCs w:val="22"/>
        </w:rPr>
        <w:tab/>
        <w:t xml:space="preserve">Ministry of </w:t>
      </w:r>
      <w:r w:rsidR="009C57E8" w:rsidRPr="009C57E8">
        <w:rPr>
          <w:sz w:val="22"/>
          <w:szCs w:val="22"/>
        </w:rPr>
        <w:t>Ecology and Natural Res</w:t>
      </w:r>
      <w:r w:rsidR="009C57E8">
        <w:rPr>
          <w:sz w:val="22"/>
          <w:szCs w:val="22"/>
        </w:rPr>
        <w:t>ourc</w:t>
      </w:r>
      <w:r w:rsidR="009C57E8" w:rsidRPr="009C57E8">
        <w:rPr>
          <w:sz w:val="22"/>
          <w:szCs w:val="22"/>
        </w:rPr>
        <w:t>es</w:t>
      </w:r>
    </w:p>
    <w:p w:rsidR="00742E37" w:rsidRPr="009C57E8" w:rsidRDefault="00742E37" w:rsidP="00742E37">
      <w:pPr>
        <w:spacing w:before="120" w:after="0" w:line="264" w:lineRule="auto"/>
        <w:jc w:val="both"/>
        <w:rPr>
          <w:sz w:val="22"/>
          <w:szCs w:val="22"/>
        </w:rPr>
      </w:pPr>
      <w:r w:rsidRPr="009C57E8">
        <w:rPr>
          <w:sz w:val="22"/>
          <w:szCs w:val="22"/>
        </w:rPr>
        <w:t>An official email communication was sent to the nominated representatives in November 2014 together with the following documents:</w:t>
      </w:r>
    </w:p>
    <w:p w:rsidR="00742E37" w:rsidRPr="009C57E8" w:rsidRDefault="00742E37" w:rsidP="00742E37">
      <w:pPr>
        <w:numPr>
          <w:ilvl w:val="0"/>
          <w:numId w:val="47"/>
        </w:numPr>
        <w:spacing w:before="120" w:after="0" w:line="264" w:lineRule="auto"/>
        <w:jc w:val="both"/>
        <w:rPr>
          <w:sz w:val="22"/>
          <w:szCs w:val="22"/>
        </w:rPr>
      </w:pPr>
      <w:r w:rsidRPr="009C57E8">
        <w:rPr>
          <w:sz w:val="22"/>
          <w:szCs w:val="22"/>
        </w:rPr>
        <w:t>EC - INTERACT ENPI Guidance Note on SEA in the context of ENI CBC, accompanying annex on actors and actions and EC letter to JPC members, June 2014</w:t>
      </w:r>
    </w:p>
    <w:p w:rsidR="00742E37" w:rsidRPr="009C57E8" w:rsidRDefault="00742E37" w:rsidP="00742E37">
      <w:pPr>
        <w:numPr>
          <w:ilvl w:val="0"/>
          <w:numId w:val="47"/>
        </w:numPr>
        <w:spacing w:before="120" w:after="0" w:line="264" w:lineRule="auto"/>
        <w:jc w:val="both"/>
        <w:rPr>
          <w:sz w:val="22"/>
          <w:szCs w:val="22"/>
        </w:rPr>
      </w:pPr>
      <w:r w:rsidRPr="009C57E8">
        <w:rPr>
          <w:sz w:val="22"/>
          <w:szCs w:val="22"/>
        </w:rPr>
        <w:t xml:space="preserve">Draft of the BSB ENI CBC programme strategy as approved at BSB JPC meetings </w:t>
      </w:r>
    </w:p>
    <w:p w:rsidR="00742E37" w:rsidRPr="009C57E8" w:rsidRDefault="00742E37" w:rsidP="00742E37">
      <w:pPr>
        <w:numPr>
          <w:ilvl w:val="0"/>
          <w:numId w:val="47"/>
        </w:numPr>
        <w:spacing w:before="120" w:after="0" w:line="264" w:lineRule="auto"/>
        <w:jc w:val="both"/>
        <w:rPr>
          <w:sz w:val="22"/>
          <w:szCs w:val="22"/>
        </w:rPr>
      </w:pPr>
      <w:r w:rsidRPr="009C57E8">
        <w:rPr>
          <w:sz w:val="22"/>
          <w:szCs w:val="22"/>
        </w:rPr>
        <w:t>Background information on ENI CBC and the BSB programme, 31/10/2014</w:t>
      </w:r>
    </w:p>
    <w:p w:rsidR="00742E37" w:rsidRPr="009C57E8" w:rsidRDefault="00742E37" w:rsidP="00742E37">
      <w:pPr>
        <w:numPr>
          <w:ilvl w:val="0"/>
          <w:numId w:val="47"/>
        </w:numPr>
        <w:spacing w:before="120" w:after="0" w:line="264" w:lineRule="auto"/>
        <w:jc w:val="both"/>
        <w:rPr>
          <w:sz w:val="22"/>
          <w:szCs w:val="22"/>
        </w:rPr>
      </w:pPr>
      <w:r w:rsidRPr="009C57E8">
        <w:rPr>
          <w:sz w:val="22"/>
          <w:szCs w:val="22"/>
        </w:rPr>
        <w:t>Note for BSB participating countries on SEA process, 31/10/2014</w:t>
      </w:r>
    </w:p>
    <w:p w:rsidR="00742E37" w:rsidRPr="009C57E8" w:rsidRDefault="00742E37" w:rsidP="00742E37">
      <w:pPr>
        <w:spacing w:before="120" w:after="0" w:line="264" w:lineRule="auto"/>
        <w:jc w:val="both"/>
        <w:rPr>
          <w:sz w:val="22"/>
          <w:szCs w:val="22"/>
        </w:rPr>
      </w:pPr>
      <w:r w:rsidRPr="009C57E8">
        <w:rPr>
          <w:sz w:val="22"/>
          <w:szCs w:val="22"/>
        </w:rPr>
        <w:t xml:space="preserve">The authorities were also provided with an initial assessment of the programme performed by the SPP SEA expert on behalf of the Managing Authority (referred to above and provided in Attachment 2). </w:t>
      </w:r>
    </w:p>
    <w:p w:rsidR="00742E37" w:rsidRPr="009C57E8" w:rsidRDefault="00742E37" w:rsidP="00742E37">
      <w:pPr>
        <w:spacing w:before="120" w:after="0" w:line="264" w:lineRule="auto"/>
        <w:jc w:val="both"/>
        <w:rPr>
          <w:sz w:val="22"/>
          <w:szCs w:val="22"/>
        </w:rPr>
      </w:pPr>
      <w:r w:rsidRPr="009C57E8">
        <w:rPr>
          <w:sz w:val="22"/>
          <w:szCs w:val="22"/>
        </w:rPr>
        <w:lastRenderedPageBreak/>
        <w:t>The nominated environmental authorities were asked for their expert opinion on whether the programme is likely to have a significant effect on the environment in the eligible regions in their countries and whether there are national requirements to be followed in this particular instance.</w:t>
      </w:r>
    </w:p>
    <w:p w:rsidR="00742E37" w:rsidRPr="009C57E8" w:rsidRDefault="00742E37" w:rsidP="00742E37">
      <w:pPr>
        <w:spacing w:before="120" w:after="0" w:line="264" w:lineRule="auto"/>
        <w:jc w:val="both"/>
        <w:rPr>
          <w:sz w:val="22"/>
          <w:szCs w:val="22"/>
        </w:rPr>
      </w:pPr>
      <w:r w:rsidRPr="009C57E8">
        <w:rPr>
          <w:sz w:val="22"/>
          <w:szCs w:val="22"/>
        </w:rPr>
        <w:t>Initially a consultation meeting in Bucharest was envisaged involving all environmental authorities. The aim of the meeting was to have a round table discussion on the possible environmental impacts in the eligible regions in each participating country as well as the procedure to be followed in each country. Due to the time of the year, and busy schedules, the meeting did not take place. Active electronic communication was ensured instead, providing clarifications and answering the questions received from the environmental authorities during the consultation process.</w:t>
      </w:r>
    </w:p>
    <w:p w:rsidR="00742E37" w:rsidRPr="009C57E8" w:rsidRDefault="00742E37" w:rsidP="00742E37">
      <w:pPr>
        <w:spacing w:before="120" w:after="0" w:line="264" w:lineRule="auto"/>
        <w:jc w:val="both"/>
        <w:rPr>
          <w:sz w:val="22"/>
          <w:szCs w:val="22"/>
        </w:rPr>
      </w:pPr>
      <w:r w:rsidRPr="009C57E8">
        <w:rPr>
          <w:sz w:val="22"/>
          <w:szCs w:val="22"/>
        </w:rPr>
        <w:t>Opinions have been received from all the environmental authorities of the participating countries.</w:t>
      </w:r>
    </w:p>
    <w:p w:rsidR="00D2609F" w:rsidRPr="009C57E8" w:rsidRDefault="00D2609F" w:rsidP="00D2609F">
      <w:pPr>
        <w:spacing w:before="120" w:after="0" w:line="264" w:lineRule="auto"/>
        <w:jc w:val="both"/>
        <w:rPr>
          <w:sz w:val="22"/>
          <w:szCs w:val="22"/>
        </w:rPr>
      </w:pPr>
      <w:r w:rsidRPr="009C57E8">
        <w:rPr>
          <w:sz w:val="22"/>
          <w:szCs w:val="22"/>
        </w:rPr>
        <w:t xml:space="preserve"> </w:t>
      </w:r>
    </w:p>
    <w:p w:rsidR="00EF79FA" w:rsidRPr="009C57E8" w:rsidRDefault="003C363E" w:rsidP="003C363E">
      <w:pPr>
        <w:pStyle w:val="Heading1"/>
        <w:numPr>
          <w:ilvl w:val="0"/>
          <w:numId w:val="3"/>
        </w:numPr>
        <w:spacing w:before="120" w:after="0" w:line="264" w:lineRule="auto"/>
        <w:jc w:val="left"/>
        <w:rPr>
          <w:rFonts w:asciiTheme="minorHAnsi" w:hAnsiTheme="minorHAnsi" w:cs="Calibri"/>
          <w:sz w:val="28"/>
        </w:rPr>
      </w:pPr>
      <w:bookmarkStart w:id="9" w:name="_Toc423427685"/>
      <w:r w:rsidRPr="009C57E8">
        <w:rPr>
          <w:rFonts w:asciiTheme="minorHAnsi" w:hAnsiTheme="minorHAnsi" w:cs="Calibri"/>
          <w:sz w:val="28"/>
        </w:rPr>
        <w:t>Conclusion of the environmental authorities of the participating countries</w:t>
      </w:r>
      <w:bookmarkEnd w:id="9"/>
    </w:p>
    <w:p w:rsidR="0044784F" w:rsidRPr="009C57E8" w:rsidRDefault="0044784F" w:rsidP="0044784F">
      <w:pPr>
        <w:spacing w:before="120" w:after="0" w:line="264" w:lineRule="auto"/>
        <w:jc w:val="both"/>
        <w:rPr>
          <w:sz w:val="22"/>
          <w:szCs w:val="22"/>
        </w:rPr>
      </w:pPr>
      <w:r w:rsidRPr="009C57E8">
        <w:rPr>
          <w:sz w:val="22"/>
          <w:szCs w:val="22"/>
        </w:rPr>
        <w:t xml:space="preserve">Based on the internal consultations and own assessments according to their national procedures, the environmental authorities of </w:t>
      </w:r>
      <w:r w:rsidRPr="009C57E8">
        <w:rPr>
          <w:b/>
          <w:sz w:val="22"/>
          <w:szCs w:val="22"/>
        </w:rPr>
        <w:t>Armenia, Georgia, Republic of Moldova, and Romania</w:t>
      </w:r>
      <w:r w:rsidRPr="009C57E8">
        <w:rPr>
          <w:sz w:val="22"/>
          <w:szCs w:val="22"/>
        </w:rPr>
        <w:t xml:space="preserve"> have concluded that the Black Sea CBC programme 2014-2020 is not likely to have a significant effect on the environment, consequently, no further action is required at national level. The environmental authorities have largely supported the initial assessment prepared by the MA and the conclusions derived from it (see Attachment 4 for the summary of input from the participating countries). </w:t>
      </w:r>
    </w:p>
    <w:p w:rsidR="0044784F" w:rsidRPr="009C57E8" w:rsidRDefault="0044784F" w:rsidP="0044784F">
      <w:pPr>
        <w:spacing w:before="120" w:after="0" w:line="264" w:lineRule="auto"/>
        <w:jc w:val="both"/>
        <w:rPr>
          <w:sz w:val="22"/>
          <w:szCs w:val="22"/>
        </w:rPr>
      </w:pPr>
      <w:r w:rsidRPr="009C57E8">
        <w:rPr>
          <w:sz w:val="22"/>
          <w:szCs w:val="22"/>
        </w:rPr>
        <w:t xml:space="preserve">The environmental authorities in </w:t>
      </w:r>
      <w:r w:rsidRPr="009C57E8">
        <w:rPr>
          <w:b/>
          <w:sz w:val="22"/>
          <w:szCs w:val="22"/>
        </w:rPr>
        <w:t>Turkey and Ukraine</w:t>
      </w:r>
      <w:r w:rsidRPr="009C57E8">
        <w:rPr>
          <w:sz w:val="22"/>
          <w:szCs w:val="22"/>
        </w:rPr>
        <w:t xml:space="preserve"> have reviewed the documents supplied. An SEA assessment was not performed as according to current legislation in these countries, SEA is not required. Draft SEA legislation has been developed but is not yet in force.</w:t>
      </w:r>
    </w:p>
    <w:p w:rsidR="0044784F" w:rsidRPr="009C57E8" w:rsidRDefault="0044784F" w:rsidP="0044784F">
      <w:pPr>
        <w:spacing w:before="120" w:after="0" w:line="264" w:lineRule="auto"/>
        <w:jc w:val="both"/>
        <w:rPr>
          <w:sz w:val="22"/>
          <w:szCs w:val="22"/>
        </w:rPr>
      </w:pPr>
      <w:r w:rsidRPr="009C57E8">
        <w:rPr>
          <w:sz w:val="22"/>
          <w:szCs w:val="22"/>
        </w:rPr>
        <w:t xml:space="preserve">The environmental authorities in </w:t>
      </w:r>
      <w:r w:rsidRPr="009C57E8">
        <w:rPr>
          <w:b/>
          <w:sz w:val="22"/>
          <w:szCs w:val="22"/>
        </w:rPr>
        <w:t>Bulgaria</w:t>
      </w:r>
      <w:r w:rsidRPr="009C57E8">
        <w:rPr>
          <w:sz w:val="22"/>
          <w:szCs w:val="22"/>
        </w:rPr>
        <w:t xml:space="preserve"> carried out a screening procedure on whether there is likely to be significant environmental effects in the programme eligible regions in Bulgaria (in accordance with art. 85, pt. 4 and pt. 5 of the </w:t>
      </w:r>
      <w:r w:rsidRPr="009C57E8">
        <w:rPr>
          <w:i/>
          <w:sz w:val="22"/>
          <w:szCs w:val="22"/>
        </w:rPr>
        <w:t>Law on Environmental Protection</w:t>
      </w:r>
      <w:r w:rsidRPr="009C57E8">
        <w:rPr>
          <w:sz w:val="22"/>
          <w:szCs w:val="22"/>
        </w:rPr>
        <w:t xml:space="preserve">, Art. 4, pt. 1 and Art. 14, pt. 2 of the </w:t>
      </w:r>
      <w:r w:rsidRPr="009C57E8">
        <w:rPr>
          <w:i/>
          <w:sz w:val="22"/>
          <w:szCs w:val="22"/>
        </w:rPr>
        <w:t>Ordinance on the conditions and procedures for environmental assessment of plans and programs</w:t>
      </w:r>
      <w:r w:rsidRPr="009C57E8">
        <w:rPr>
          <w:sz w:val="22"/>
          <w:szCs w:val="22"/>
        </w:rPr>
        <w:t xml:space="preserve">, Art. 37, pt. 4 of the </w:t>
      </w:r>
      <w:r w:rsidRPr="009C57E8">
        <w:rPr>
          <w:i/>
          <w:sz w:val="22"/>
          <w:szCs w:val="22"/>
        </w:rPr>
        <w:t>Ordinance on the conditions and procedures for assessing the compatibility of plans, programs, projects and investment proposals with the object and purpose of conserving protected areas</w:t>
      </w:r>
      <w:r w:rsidRPr="009C57E8">
        <w:rPr>
          <w:sz w:val="22"/>
          <w:szCs w:val="22"/>
        </w:rPr>
        <w:t>). Following the screening procedures, the Ministry of Environment and Water decided that environmental assessment is not required for the Bulgarian NUTS II regions included in the eligible area of the Black Sea Basin ENI CBC Programme 2014-2020, the implementation of which is unlikely to have a significant negative impact on the environment and human health. The decision was made based on two conditions related to environmental impact assessment where necessary and good water status and management of flood risk. These conditions have been included in the Attachment 4 and reflected in the relevant part of the programme strategy.</w:t>
      </w:r>
    </w:p>
    <w:p w:rsidR="0044784F" w:rsidRPr="009C57E8" w:rsidRDefault="0044784F" w:rsidP="0044784F">
      <w:pPr>
        <w:spacing w:before="120" w:after="0" w:line="264" w:lineRule="auto"/>
        <w:jc w:val="both"/>
        <w:rPr>
          <w:sz w:val="22"/>
          <w:szCs w:val="22"/>
        </w:rPr>
      </w:pPr>
      <w:r w:rsidRPr="009C57E8">
        <w:rPr>
          <w:sz w:val="22"/>
          <w:szCs w:val="22"/>
        </w:rPr>
        <w:t xml:space="preserve">The environmental authorities in </w:t>
      </w:r>
      <w:r w:rsidRPr="009C57E8">
        <w:rPr>
          <w:b/>
          <w:sz w:val="22"/>
          <w:szCs w:val="22"/>
        </w:rPr>
        <w:t>Greece</w:t>
      </w:r>
      <w:r w:rsidRPr="009C57E8">
        <w:rPr>
          <w:sz w:val="22"/>
          <w:szCs w:val="22"/>
        </w:rPr>
        <w:t xml:space="preserve"> reviewed the programme in light of the Joint Ministerial Decree. No. 107017/5-9-06 for the assessment of environmental impact of programmes, in accordance with Directive 2001/42/EC (B’ 1225) and concluded that a SEA or an ex-ante environmental assessment is not required. It was concluded that the Black sea Basin Programme does not fall under the provisions of the relevant sections of the Joint Ministerial Decree, the Programme is not expected to influence any areas of the </w:t>
      </w:r>
      <w:proofErr w:type="spellStart"/>
      <w:r w:rsidRPr="009C57E8">
        <w:rPr>
          <w:sz w:val="22"/>
          <w:szCs w:val="22"/>
        </w:rPr>
        <w:t>Natura</w:t>
      </w:r>
      <w:proofErr w:type="spellEnd"/>
      <w:r w:rsidRPr="009C57E8">
        <w:rPr>
          <w:sz w:val="22"/>
          <w:szCs w:val="22"/>
        </w:rPr>
        <w:t xml:space="preserve"> 2000 European Ecological Network and that in the context of the specific Programme no projects or actions requiring environmental studies permissions (according to L.4014/2011 (A’ 209) and ministerial decree 1958/2012 (B21) are included. </w:t>
      </w:r>
    </w:p>
    <w:p w:rsidR="00810554" w:rsidRDefault="00EB64FC" w:rsidP="005B5A69">
      <w:pPr>
        <w:spacing w:before="120" w:after="120" w:line="264" w:lineRule="auto"/>
        <w:jc w:val="both"/>
        <w:rPr>
          <w:rFonts w:cs="Times New Roman"/>
          <w:sz w:val="22"/>
          <w:szCs w:val="22"/>
        </w:rPr>
      </w:pPr>
      <w:r w:rsidRPr="009C57E8">
        <w:rPr>
          <w:rFonts w:cs="Times New Roman"/>
          <w:sz w:val="22"/>
          <w:szCs w:val="22"/>
        </w:rPr>
        <w:t xml:space="preserve"> </w:t>
      </w:r>
    </w:p>
    <w:p w:rsidR="00810554" w:rsidRDefault="00810554">
      <w:pPr>
        <w:rPr>
          <w:rFonts w:cs="Times New Roman"/>
          <w:sz w:val="22"/>
          <w:szCs w:val="22"/>
        </w:rPr>
      </w:pPr>
      <w:r>
        <w:rPr>
          <w:rFonts w:cs="Times New Roman"/>
          <w:sz w:val="22"/>
          <w:szCs w:val="22"/>
        </w:rPr>
        <w:br w:type="page"/>
      </w:r>
    </w:p>
    <w:p w:rsidR="004A3BF9" w:rsidRPr="009C57E8" w:rsidRDefault="004A3BF9" w:rsidP="005B5A69">
      <w:pPr>
        <w:spacing w:before="120" w:after="120" w:line="264" w:lineRule="auto"/>
        <w:jc w:val="both"/>
        <w:rPr>
          <w:rFonts w:cs="Calibri"/>
          <w:sz w:val="28"/>
        </w:rPr>
      </w:pPr>
    </w:p>
    <w:p w:rsidR="00EF79FA" w:rsidRPr="009C57E8" w:rsidRDefault="0093787E" w:rsidP="0093787E">
      <w:pPr>
        <w:pStyle w:val="Heading1"/>
        <w:numPr>
          <w:ilvl w:val="0"/>
          <w:numId w:val="3"/>
        </w:numPr>
        <w:spacing w:before="120" w:after="0" w:line="264" w:lineRule="auto"/>
        <w:jc w:val="left"/>
        <w:rPr>
          <w:rFonts w:asciiTheme="minorHAnsi" w:hAnsiTheme="minorHAnsi" w:cs="Calibri"/>
          <w:sz w:val="28"/>
        </w:rPr>
      </w:pPr>
      <w:bookmarkStart w:id="10" w:name="_Toc423427686"/>
      <w:r w:rsidRPr="009C57E8">
        <w:rPr>
          <w:rFonts w:asciiTheme="minorHAnsi" w:hAnsiTheme="minorHAnsi" w:cs="Calibri"/>
          <w:sz w:val="28"/>
        </w:rPr>
        <w:t>Overall conclusions</w:t>
      </w:r>
      <w:bookmarkEnd w:id="10"/>
    </w:p>
    <w:p w:rsidR="008F7F9A" w:rsidRPr="009C57E8" w:rsidRDefault="008F7F9A" w:rsidP="008F7F9A">
      <w:pPr>
        <w:spacing w:before="120" w:after="0" w:line="264" w:lineRule="auto"/>
        <w:jc w:val="both"/>
        <w:rPr>
          <w:sz w:val="22"/>
          <w:szCs w:val="22"/>
        </w:rPr>
      </w:pPr>
      <w:r w:rsidRPr="009C57E8">
        <w:rPr>
          <w:sz w:val="22"/>
          <w:szCs w:val="22"/>
        </w:rPr>
        <w:t>Based on the assessment of the BSB programme using criteria for determining the likely significance of environmental effects (according to the Annex II of the SEA Directive), and taking into account the opinions received from the environmental authorities of the participating countries, it is concluded that the programme is not likely to have significant environmental effects in the regions eligible for the programme, and a full SEA is not required, for the following reasons:</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The programme allocates financing and sets the framework for the projects and their operating conditions (’soft’ type of projects with limited investments in equipment)</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The programme has no influence on the other plans or programmes</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Integration of environmental considerations is stipulated in the JOP; relevant project selection criteria will be applied</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No environmental problems relevant to the programme have been identified;</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The programme is not relevant for the implementation of Community legislation on the environment</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No direct or cumulative effects on environment are expected, while some indirect positive impact estimated in the whole programme area affecting the entire population</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ENI CBC is promoting cooperation across the borders, however, no direct trans-boundary environmental effects are expected</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No risks to human health or the environment have been identified</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Indirect positive impact estimated in whole programme area affecting the entire population</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No vulnerable areas will be directly affected. Intensification of the tourism related activities might potentially lead to an increased pressure on the vulnerable nature areas and cultural heritage objects. To eliminate this potential risk the project applicants will have to carry out the vulnerability assessment of their projects prior applying for financing</w:t>
      </w:r>
    </w:p>
    <w:p w:rsidR="008F7F9A" w:rsidRPr="009C57E8" w:rsidRDefault="008F7F9A" w:rsidP="008F7F9A">
      <w:pPr>
        <w:numPr>
          <w:ilvl w:val="0"/>
          <w:numId w:val="47"/>
        </w:numPr>
        <w:spacing w:before="120" w:after="0" w:line="264" w:lineRule="auto"/>
        <w:jc w:val="both"/>
        <w:rPr>
          <w:sz w:val="22"/>
          <w:szCs w:val="22"/>
        </w:rPr>
      </w:pPr>
      <w:r w:rsidRPr="009C57E8">
        <w:rPr>
          <w:sz w:val="22"/>
          <w:szCs w:val="22"/>
        </w:rPr>
        <w:t>No direct effects on the landscape are expected</w:t>
      </w:r>
    </w:p>
    <w:p w:rsidR="008F7F9A" w:rsidRDefault="008F7F9A" w:rsidP="008F7F9A">
      <w:pPr>
        <w:spacing w:before="120" w:after="0" w:line="264" w:lineRule="auto"/>
        <w:jc w:val="both"/>
        <w:rPr>
          <w:sz w:val="22"/>
          <w:szCs w:val="22"/>
        </w:rPr>
      </w:pPr>
      <w:r w:rsidRPr="009C57E8">
        <w:rPr>
          <w:sz w:val="22"/>
          <w:szCs w:val="22"/>
        </w:rPr>
        <w:t xml:space="preserve">Therefore it can be concluded that the regulatory requirements of the SEA directive have been fulfilled in the case of the Black Sea Basin ENI CBC programme, in accordance with national legislation and the guidance on the subject provided by the EC. The nominated environmental authorities in the participating countries have been consulted and it is </w:t>
      </w:r>
      <w:r w:rsidRPr="009C57E8">
        <w:rPr>
          <w:b/>
          <w:sz w:val="22"/>
          <w:szCs w:val="22"/>
        </w:rPr>
        <w:t>agreed that a full SEA is not required</w:t>
      </w:r>
      <w:r w:rsidRPr="009C57E8">
        <w:rPr>
          <w:sz w:val="22"/>
          <w:szCs w:val="22"/>
        </w:rPr>
        <w:t xml:space="preserve">.  </w:t>
      </w:r>
    </w:p>
    <w:p w:rsidR="00811F7D" w:rsidRDefault="00811F7D" w:rsidP="008F7F9A">
      <w:pPr>
        <w:spacing w:before="120" w:after="0" w:line="264" w:lineRule="auto"/>
        <w:jc w:val="both"/>
        <w:rPr>
          <w:sz w:val="22"/>
          <w:szCs w:val="22"/>
        </w:rPr>
      </w:pPr>
    </w:p>
    <w:p w:rsidR="00811F7D" w:rsidRPr="003A18C4" w:rsidRDefault="00811F7D" w:rsidP="00811F7D">
      <w:pPr>
        <w:pStyle w:val="Heading1"/>
        <w:spacing w:before="120" w:after="0" w:line="264" w:lineRule="auto"/>
        <w:jc w:val="left"/>
        <w:rPr>
          <w:rFonts w:asciiTheme="minorHAnsi" w:hAnsiTheme="minorHAnsi" w:cs="Calibri"/>
          <w:b/>
          <w:sz w:val="28"/>
        </w:rPr>
      </w:pPr>
      <w:bookmarkStart w:id="11" w:name="_Toc421030576"/>
      <w:bookmarkStart w:id="12" w:name="_Toc421272881"/>
      <w:bookmarkStart w:id="13" w:name="_Toc423427687"/>
      <w:r w:rsidRPr="003A18C4">
        <w:rPr>
          <w:rFonts w:asciiTheme="minorHAnsi" w:hAnsiTheme="minorHAnsi" w:cs="Calibri"/>
          <w:b/>
          <w:sz w:val="28"/>
        </w:rPr>
        <w:t>A</w:t>
      </w:r>
      <w:bookmarkEnd w:id="11"/>
      <w:bookmarkEnd w:id="12"/>
      <w:r w:rsidR="007F4A51">
        <w:rPr>
          <w:rFonts w:asciiTheme="minorHAnsi" w:hAnsiTheme="minorHAnsi" w:cs="Calibri"/>
          <w:b/>
          <w:sz w:val="28"/>
        </w:rPr>
        <w:t>ttachments</w:t>
      </w:r>
      <w:bookmarkEnd w:id="13"/>
    </w:p>
    <w:p w:rsidR="00811F7D" w:rsidRPr="00ED22B5" w:rsidRDefault="007F4A51" w:rsidP="00811F7D">
      <w:pPr>
        <w:pStyle w:val="Heading3"/>
        <w:spacing w:before="120"/>
      </w:pPr>
      <w:bookmarkStart w:id="14" w:name="_Toc421030577"/>
      <w:bookmarkStart w:id="15" w:name="_Toc421272882"/>
      <w:bookmarkStart w:id="16" w:name="_Toc423427688"/>
      <w:r w:rsidRPr="007F4A51">
        <w:t>Attachment</w:t>
      </w:r>
      <w:r>
        <w:t xml:space="preserve"> </w:t>
      </w:r>
      <w:r w:rsidR="00811F7D" w:rsidRPr="00ED22B5">
        <w:t xml:space="preserve">1 – </w:t>
      </w:r>
      <w:bookmarkEnd w:id="14"/>
      <w:r w:rsidR="00811F7D">
        <w:t>Nominated environmental experts at national level</w:t>
      </w:r>
      <w:bookmarkEnd w:id="15"/>
      <w:bookmarkEnd w:id="16"/>
    </w:p>
    <w:p w:rsidR="00811F7D" w:rsidRPr="00ED22B5" w:rsidRDefault="007F4A51" w:rsidP="00811F7D">
      <w:pPr>
        <w:pStyle w:val="Heading3"/>
        <w:spacing w:before="120"/>
      </w:pPr>
      <w:bookmarkStart w:id="17" w:name="_Toc421030578"/>
      <w:bookmarkStart w:id="18" w:name="_Toc421272883"/>
      <w:bookmarkStart w:id="19" w:name="_Toc423427689"/>
      <w:r w:rsidRPr="007F4A51">
        <w:t>Attachment</w:t>
      </w:r>
      <w:r>
        <w:t xml:space="preserve"> </w:t>
      </w:r>
      <w:r w:rsidR="00811F7D" w:rsidRPr="00ED22B5">
        <w:t xml:space="preserve">2 </w:t>
      </w:r>
      <w:r w:rsidR="00811F7D">
        <w:t>–</w:t>
      </w:r>
      <w:r w:rsidR="00811F7D" w:rsidRPr="00ED22B5">
        <w:t xml:space="preserve"> </w:t>
      </w:r>
      <w:bookmarkEnd w:id="17"/>
      <w:r w:rsidR="00811F7D">
        <w:t>Note on the preparation of BSB SEA process and initial assessment</w:t>
      </w:r>
      <w:bookmarkEnd w:id="18"/>
      <w:bookmarkEnd w:id="19"/>
      <w:r w:rsidR="00811F7D" w:rsidRPr="00ED22B5">
        <w:t xml:space="preserve"> </w:t>
      </w:r>
    </w:p>
    <w:p w:rsidR="00811F7D" w:rsidRPr="00ED22B5" w:rsidRDefault="007F4A51" w:rsidP="00811F7D">
      <w:pPr>
        <w:pStyle w:val="Heading3"/>
        <w:spacing w:before="120"/>
      </w:pPr>
      <w:bookmarkStart w:id="20" w:name="_Toc421030579"/>
      <w:bookmarkStart w:id="21" w:name="_Toc421272884"/>
      <w:bookmarkStart w:id="22" w:name="_Toc423427690"/>
      <w:r w:rsidRPr="007F4A51">
        <w:t>Attachment</w:t>
      </w:r>
      <w:r>
        <w:t xml:space="preserve"> </w:t>
      </w:r>
      <w:r w:rsidR="00811F7D" w:rsidRPr="00ED22B5">
        <w:t>3 –</w:t>
      </w:r>
      <w:bookmarkEnd w:id="20"/>
      <w:r w:rsidR="00811F7D">
        <w:t xml:space="preserve"> Decision on Romanian eligible area</w:t>
      </w:r>
      <w:bookmarkEnd w:id="21"/>
      <w:bookmarkEnd w:id="22"/>
    </w:p>
    <w:p w:rsidR="00811F7D" w:rsidRPr="00ED22B5" w:rsidRDefault="007F4A51" w:rsidP="00811F7D">
      <w:pPr>
        <w:pStyle w:val="Heading3"/>
        <w:spacing w:before="120"/>
      </w:pPr>
      <w:bookmarkStart w:id="23" w:name="_Toc421030580"/>
      <w:bookmarkStart w:id="24" w:name="_Toc421272885"/>
      <w:bookmarkStart w:id="25" w:name="_Toc423427691"/>
      <w:r w:rsidRPr="007F4A51">
        <w:t>Attachment</w:t>
      </w:r>
      <w:r>
        <w:t xml:space="preserve"> </w:t>
      </w:r>
      <w:r w:rsidR="00811F7D" w:rsidRPr="00ED22B5">
        <w:t>4 –</w:t>
      </w:r>
      <w:bookmarkEnd w:id="23"/>
      <w:r w:rsidR="00811F7D">
        <w:t xml:space="preserve"> Results of the consultation with environmental authorities in participating countries</w:t>
      </w:r>
      <w:bookmarkEnd w:id="24"/>
      <w:bookmarkEnd w:id="25"/>
    </w:p>
    <w:sectPr w:rsidR="00811F7D" w:rsidRPr="00ED22B5" w:rsidSect="00D65E74">
      <w:footerReference w:type="first" r:id="rId12"/>
      <w:footnotePr>
        <w:numFmt w:val="lowerRoman"/>
      </w:footnotePr>
      <w:endnotePr>
        <w:numFmt w:val="decimal"/>
      </w:endnotePr>
      <w:pgSz w:w="12240" w:h="15840" w:code="1"/>
      <w:pgMar w:top="794" w:right="601" w:bottom="794" w:left="760" w:header="794" w:footer="567" w:gutter="0"/>
      <w:pgNumType w:start="1"/>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70A479" w15:done="0"/>
  <w15:commentEx w15:paraId="04D0267D" w15:paraIdParent="4B70A479" w15:done="0"/>
  <w15:commentEx w15:paraId="566AA03D" w15:done="0"/>
  <w15:commentEx w15:paraId="002DC89E" w15:done="0"/>
  <w15:commentEx w15:paraId="48640251" w15:done="0"/>
  <w15:commentEx w15:paraId="7323A671" w15:paraIdParent="48640251" w15:done="0"/>
  <w15:commentEx w15:paraId="74D42835" w15:done="0"/>
  <w15:commentEx w15:paraId="559E35C9" w15:done="0"/>
  <w15:commentEx w15:paraId="2BC220AD" w15:done="0"/>
  <w15:commentEx w15:paraId="1D1EAF3B" w15:done="0"/>
  <w15:commentEx w15:paraId="45244D68" w15:done="0"/>
  <w15:commentEx w15:paraId="5EB429B8" w15:done="0"/>
  <w15:commentEx w15:paraId="03CB46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EA4" w:rsidRDefault="00EA3EA4" w:rsidP="00AB0047">
      <w:pPr>
        <w:spacing w:after="0" w:line="240" w:lineRule="auto"/>
      </w:pPr>
      <w:r>
        <w:separator/>
      </w:r>
    </w:p>
  </w:endnote>
  <w:endnote w:type="continuationSeparator" w:id="0">
    <w:p w:rsidR="00EA3EA4" w:rsidRDefault="00EA3EA4" w:rsidP="00AB0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9" w:rsidRDefault="000C06F9" w:rsidP="007547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06F9" w:rsidRDefault="000C06F9" w:rsidP="003B36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920"/>
      <w:gridCol w:w="3656"/>
    </w:tblGrid>
    <w:tr w:rsidR="000C06F9" w:rsidTr="003562D6">
      <w:tc>
        <w:tcPr>
          <w:tcW w:w="5920" w:type="dxa"/>
        </w:tcPr>
        <w:sdt>
          <w:sdtPr>
            <w:rPr>
              <w:rFonts w:ascii="Century Gothic" w:hAnsi="Century Gothic"/>
            </w:rPr>
            <w:alias w:val="Title"/>
            <w:tag w:val=""/>
            <w:id w:val="-424189986"/>
            <w:dataBinding w:prefixMappings="xmlns:ns0='http://purl.org/dc/elements/1.1/' xmlns:ns1='http://schemas.openxmlformats.org/package/2006/metadata/core-properties' " w:xpath="/ns1:coreProperties[1]/ns0:title[1]" w:storeItemID="{6C3C8BC8-F283-45AE-878A-BAB7291924A1}"/>
            <w:text w:multiLine="1"/>
          </w:sdtPr>
          <w:sdtEndPr/>
          <w:sdtContent>
            <w:p w:rsidR="000C06F9" w:rsidRPr="004B58D3" w:rsidRDefault="00B50629" w:rsidP="00AB0047">
              <w:pPr>
                <w:pStyle w:val="Footer"/>
                <w:rPr>
                  <w:b/>
                  <w:color w:val="auto"/>
                  <w:sz w:val="24"/>
                </w:rPr>
              </w:pPr>
              <w:r>
                <w:rPr>
                  <w:rFonts w:ascii="Century Gothic" w:hAnsi="Century Gothic"/>
                </w:rPr>
                <w:t xml:space="preserve">Strategic Environmental Assessment (SEA) process </w:t>
              </w:r>
              <w:r>
                <w:rPr>
                  <w:rFonts w:ascii="Century Gothic" w:hAnsi="Century Gothic"/>
                </w:rPr>
                <w:br/>
                <w:t>- Joint Operational Programme Black Sea Basin 2014-2020 -</w:t>
              </w:r>
            </w:p>
          </w:sdtContent>
        </w:sdt>
      </w:tc>
      <w:tc>
        <w:tcPr>
          <w:tcW w:w="3656" w:type="dxa"/>
        </w:tcPr>
        <w:p w:rsidR="000C06F9" w:rsidRDefault="000C06F9" w:rsidP="00AB0047">
          <w:pPr>
            <w:pStyle w:val="Header-FooterRight"/>
          </w:pPr>
          <w:r>
            <w:fldChar w:fldCharType="begin"/>
          </w:r>
          <w:r>
            <w:instrText>PAGE</w:instrText>
          </w:r>
          <w:r>
            <w:fldChar w:fldCharType="separate"/>
          </w:r>
          <w:r w:rsidR="001538DA">
            <w:rPr>
              <w:noProof/>
            </w:rPr>
            <w:t>6</w:t>
          </w:r>
          <w:r>
            <w:fldChar w:fldCharType="end"/>
          </w:r>
        </w:p>
      </w:tc>
    </w:tr>
  </w:tbl>
  <w:p w:rsidR="000C06F9" w:rsidRPr="00242DB1" w:rsidRDefault="000C06F9" w:rsidP="00242DB1">
    <w:pPr>
      <w:pStyle w:val="NoSpacing"/>
      <w:rPr>
        <w:rFonts w:ascii="Century Gothic" w:hAnsi="Century Gothic"/>
        <w:color w:val="595959" w:themeColor="text1" w:themeTint="A6"/>
        <w:sz w:val="2"/>
        <w:szCs w:val="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920"/>
      <w:gridCol w:w="3656"/>
    </w:tblGrid>
    <w:tr w:rsidR="000C06F9" w:rsidTr="003562D6">
      <w:tc>
        <w:tcPr>
          <w:tcW w:w="5920" w:type="dxa"/>
        </w:tcPr>
        <w:sdt>
          <w:sdtPr>
            <w:rPr>
              <w:rFonts w:ascii="Century Gothic" w:hAnsi="Century Gothic"/>
            </w:rPr>
            <w:alias w:val="Title"/>
            <w:tag w:val=""/>
            <w:id w:val="21065651"/>
            <w:dataBinding w:prefixMappings="xmlns:ns0='http://purl.org/dc/elements/1.1/' xmlns:ns1='http://schemas.openxmlformats.org/package/2006/metadata/core-properties' " w:xpath="/ns1:coreProperties[1]/ns0:title[1]" w:storeItemID="{6C3C8BC8-F283-45AE-878A-BAB7291924A1}"/>
            <w:text w:multiLine="1"/>
          </w:sdtPr>
          <w:sdtEndPr/>
          <w:sdtContent>
            <w:p w:rsidR="000C06F9" w:rsidRPr="004B58D3" w:rsidRDefault="00B50629" w:rsidP="00AB0047">
              <w:pPr>
                <w:pStyle w:val="Footer"/>
                <w:rPr>
                  <w:b/>
                  <w:color w:val="auto"/>
                  <w:sz w:val="24"/>
                </w:rPr>
              </w:pPr>
              <w:r>
                <w:rPr>
                  <w:rFonts w:ascii="Century Gothic" w:hAnsi="Century Gothic"/>
                </w:rPr>
                <w:t xml:space="preserve">Strategic Environmental Assessment (SEA) process </w:t>
              </w:r>
              <w:r>
                <w:rPr>
                  <w:rFonts w:ascii="Century Gothic" w:hAnsi="Century Gothic"/>
                </w:rPr>
                <w:br/>
                <w:t>- Joint Operational Programme Black Sea Basin 2014-2020 -</w:t>
              </w:r>
            </w:p>
          </w:sdtContent>
        </w:sdt>
      </w:tc>
      <w:tc>
        <w:tcPr>
          <w:tcW w:w="3656" w:type="dxa"/>
        </w:tcPr>
        <w:p w:rsidR="000C06F9" w:rsidRDefault="000C06F9" w:rsidP="00AB0047">
          <w:pPr>
            <w:pStyle w:val="Header-FooterRight"/>
          </w:pPr>
          <w:r>
            <w:rPr>
              <w:noProof/>
            </w:rPr>
            <w:fldChar w:fldCharType="begin"/>
          </w:r>
          <w:r>
            <w:rPr>
              <w:noProof/>
            </w:rPr>
            <w:instrText>PAGE</w:instrText>
          </w:r>
          <w:r>
            <w:rPr>
              <w:noProof/>
            </w:rPr>
            <w:fldChar w:fldCharType="separate"/>
          </w:r>
          <w:r w:rsidR="001538DA">
            <w:rPr>
              <w:noProof/>
            </w:rPr>
            <w:t>1</w:t>
          </w:r>
          <w:r>
            <w:rPr>
              <w:noProof/>
            </w:rPr>
            <w:fldChar w:fldCharType="end"/>
          </w:r>
        </w:p>
      </w:tc>
    </w:tr>
  </w:tbl>
  <w:p w:rsidR="000C06F9" w:rsidRPr="00242DB1" w:rsidRDefault="000C06F9" w:rsidP="00242DB1">
    <w:pPr>
      <w:pStyle w:val="NoSpacing"/>
      <w:rPr>
        <w:rFonts w:ascii="Century Gothic" w:hAnsi="Century Gothic"/>
        <w:color w:val="595959" w:themeColor="text1" w:themeTint="A6"/>
        <w:sz w:val="2"/>
        <w:szCs w:val="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EA4" w:rsidRDefault="00EA3EA4" w:rsidP="00AB0047">
      <w:pPr>
        <w:spacing w:after="0" w:line="240" w:lineRule="auto"/>
      </w:pPr>
      <w:r>
        <w:separator/>
      </w:r>
    </w:p>
  </w:footnote>
  <w:footnote w:type="continuationSeparator" w:id="0">
    <w:p w:rsidR="00EA3EA4" w:rsidRDefault="00EA3EA4" w:rsidP="00AB0047">
      <w:pPr>
        <w:spacing w:after="0" w:line="240" w:lineRule="auto"/>
      </w:pPr>
      <w:r>
        <w:continuationSeparator/>
      </w:r>
    </w:p>
  </w:footnote>
  <w:footnote w:id="1">
    <w:p w:rsidR="006353E5" w:rsidRPr="006C4BAC" w:rsidRDefault="006353E5" w:rsidP="006353E5">
      <w:pPr>
        <w:pStyle w:val="FootnoteText"/>
        <w:rPr>
          <w:sz w:val="18"/>
          <w:szCs w:val="18"/>
        </w:rPr>
      </w:pPr>
      <w:r>
        <w:rPr>
          <w:rStyle w:val="FootnoteReference"/>
        </w:rPr>
        <w:footnoteRef/>
      </w:r>
      <w:r>
        <w:t xml:space="preserve"> </w:t>
      </w:r>
      <w:r w:rsidRPr="006C4BAC">
        <w:rPr>
          <w:sz w:val="18"/>
          <w:szCs w:val="18"/>
        </w:rPr>
        <w:t>Prepared by INTERACT ENPI</w:t>
      </w:r>
    </w:p>
  </w:footnote>
  <w:footnote w:id="2">
    <w:p w:rsidR="00672C59" w:rsidRPr="003C0839" w:rsidRDefault="00672C59" w:rsidP="00672C59">
      <w:pPr>
        <w:pStyle w:val="FootnoteText"/>
        <w:jc w:val="both"/>
        <w:rPr>
          <w:sz w:val="18"/>
          <w:szCs w:val="18"/>
        </w:rPr>
      </w:pPr>
      <w:r w:rsidRPr="001033DF">
        <w:rPr>
          <w:rStyle w:val="FootnoteReference"/>
        </w:rPr>
        <w:footnoteRef/>
      </w:r>
      <w:r w:rsidRPr="001033DF">
        <w:t xml:space="preserve"> </w:t>
      </w:r>
      <w:r w:rsidRPr="00EA6E80">
        <w:rPr>
          <w:sz w:val="18"/>
          <w:szCs w:val="18"/>
        </w:rPr>
        <w:t>Although public consultation is not required under the EU SEA Directive for the screening process, this was done in Romania as it is required under Romanian law. The public in the programme area had been consulted previously during the development of the strategy.</w:t>
      </w:r>
      <w:r w:rsidRPr="003C0839">
        <w:rPr>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0A3CA2"/>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nsid w:val="FFFFFF89"/>
    <w:multiLevelType w:val="singleLevel"/>
    <w:tmpl w:val="2ADA3A6C"/>
    <w:lvl w:ilvl="0">
      <w:start w:val="1"/>
      <w:numFmt w:val="bullet"/>
      <w:pStyle w:val="ListBullet"/>
      <w:lvlText w:val="n"/>
      <w:lvlJc w:val="left"/>
      <w:pPr>
        <w:tabs>
          <w:tab w:val="num" w:pos="360"/>
        </w:tabs>
        <w:ind w:left="360" w:hanging="360"/>
      </w:pPr>
      <w:rPr>
        <w:rFonts w:ascii="Wingdings" w:hAnsi="Wingdings" w:hint="default"/>
        <w:color w:val="983620" w:themeColor="accent2"/>
      </w:rPr>
    </w:lvl>
  </w:abstractNum>
  <w:abstractNum w:abstractNumId="2">
    <w:nsid w:val="009D3AA1"/>
    <w:multiLevelType w:val="hybridMultilevel"/>
    <w:tmpl w:val="8FE83408"/>
    <w:lvl w:ilvl="0" w:tplc="6636BB3E">
      <w:start w:val="1"/>
      <w:numFmt w:val="bullet"/>
      <w:pStyle w:val="Bullets"/>
      <w:lvlText w:val=""/>
      <w:lvlJc w:val="left"/>
      <w:pPr>
        <w:tabs>
          <w:tab w:val="num" w:pos="284"/>
        </w:tabs>
        <w:ind w:left="284" w:hanging="284"/>
      </w:pPr>
      <w:rPr>
        <w:rFonts w:ascii="Symbol" w:hAnsi="Symbol" w:hint="default"/>
        <w:color w:val="000080"/>
      </w:rPr>
    </w:lvl>
    <w:lvl w:ilvl="1" w:tplc="08090019">
      <w:start w:val="1"/>
      <w:numFmt w:val="bullet"/>
      <w:lvlText w:val=""/>
      <w:lvlJc w:val="left"/>
      <w:pPr>
        <w:tabs>
          <w:tab w:val="num" w:pos="1364"/>
        </w:tabs>
        <w:ind w:left="1364" w:hanging="284"/>
      </w:pPr>
      <w:rPr>
        <w:rFonts w:ascii="Symbol" w:hAnsi="Symbol" w:hint="default"/>
        <w:color w:val="999999"/>
      </w:rPr>
    </w:lvl>
    <w:lvl w:ilvl="2" w:tplc="0809001B">
      <w:numFmt w:val="bullet"/>
      <w:lvlText w:val="-"/>
      <w:lvlJc w:val="left"/>
      <w:pPr>
        <w:tabs>
          <w:tab w:val="num" w:pos="2340"/>
        </w:tabs>
        <w:ind w:left="2340" w:hanging="360"/>
      </w:pPr>
      <w:rPr>
        <w:rFonts w:ascii="Arial" w:eastAsia="Times New Roman" w:hAnsi="Arial" w:cs="Aria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0BB2782"/>
    <w:multiLevelType w:val="hybridMultilevel"/>
    <w:tmpl w:val="D6D413A2"/>
    <w:lvl w:ilvl="0" w:tplc="0809000F">
      <w:start w:val="1"/>
      <w:numFmt w:val="decimal"/>
      <w:lvlText w:val="%1."/>
      <w:lvlJc w:val="left"/>
      <w:pPr>
        <w:ind w:left="720" w:hanging="360"/>
      </w:pPr>
      <w:rPr>
        <w:rFonts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20C2F68"/>
    <w:multiLevelType w:val="hybridMultilevel"/>
    <w:tmpl w:val="CD3E4114"/>
    <w:lvl w:ilvl="0" w:tplc="77B0348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A824A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8607A4F"/>
    <w:multiLevelType w:val="hybridMultilevel"/>
    <w:tmpl w:val="5C6E74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0815644"/>
    <w:multiLevelType w:val="hybridMultilevel"/>
    <w:tmpl w:val="59B61EF6"/>
    <w:lvl w:ilvl="0" w:tplc="4EDCB864">
      <w:start w:val="1"/>
      <w:numFmt w:val="bullet"/>
      <w:lvlText w:val="-"/>
      <w:lvlJc w:val="left"/>
      <w:pPr>
        <w:ind w:left="1080" w:hanging="360"/>
      </w:pPr>
      <w:rPr>
        <w:rFonts w:ascii="Courier New" w:hAnsi="Courier New" w:hint="default"/>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11D30F8"/>
    <w:multiLevelType w:val="hybridMultilevel"/>
    <w:tmpl w:val="CA1AC14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1646C40"/>
    <w:multiLevelType w:val="hybridMultilevel"/>
    <w:tmpl w:val="2B48EAB6"/>
    <w:lvl w:ilvl="0" w:tplc="260E6348">
      <w:start w:val="1"/>
      <w:numFmt w:val="bullet"/>
      <w:lvlText w:val=""/>
      <w:lvlJc w:val="left"/>
      <w:pPr>
        <w:ind w:left="1791" w:hanging="360"/>
      </w:pPr>
      <w:rPr>
        <w:rFonts w:ascii="Wingdings 2" w:hAnsi="Wingdings 2" w:hint="default"/>
        <w:color w:val="808080" w:themeColor="background1" w:themeShade="80"/>
      </w:rPr>
    </w:lvl>
    <w:lvl w:ilvl="1" w:tplc="08090003" w:tentative="1">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10">
    <w:nsid w:val="1B3C78B8"/>
    <w:multiLevelType w:val="multilevel"/>
    <w:tmpl w:val="E9202990"/>
    <w:name w:val="Point"/>
    <w:lvl w:ilvl="0">
      <w:start w:val="1"/>
      <w:numFmt w:val="lowerLetter"/>
      <w:lvlRestart w:val="0"/>
      <w:pStyle w:val="Point0number"/>
      <w:lvlText w:val="(%1)"/>
      <w:lvlJc w:val="left"/>
      <w:pPr>
        <w:tabs>
          <w:tab w:val="num" w:pos="850"/>
        </w:tabs>
        <w:ind w:left="850" w:hanging="850"/>
      </w:pPr>
      <w:rPr>
        <w:rFonts w:ascii="Times New Roman" w:eastAsia="Calibri" w:hAnsi="Times New Roman" w:cs="Times New Roman"/>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nsid w:val="1B582E0E"/>
    <w:multiLevelType w:val="hybridMultilevel"/>
    <w:tmpl w:val="38C6716C"/>
    <w:lvl w:ilvl="0" w:tplc="04090007">
      <w:start w:val="1"/>
      <w:numFmt w:val="bullet"/>
      <w:lvlText w:val=""/>
      <w:lvlJc w:val="left"/>
      <w:pPr>
        <w:tabs>
          <w:tab w:val="num" w:pos="2160"/>
        </w:tabs>
        <w:ind w:left="2160" w:hanging="360"/>
      </w:pPr>
      <w:rPr>
        <w:rFonts w:ascii="Wingdings" w:hAnsi="Wingdings" w:hint="default"/>
        <w:sz w:val="16"/>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1FD85181"/>
    <w:multiLevelType w:val="hybridMultilevel"/>
    <w:tmpl w:val="230CEF14"/>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2A26168"/>
    <w:multiLevelType w:val="hybridMultilevel"/>
    <w:tmpl w:val="1E760A94"/>
    <w:lvl w:ilvl="0" w:tplc="2FD42A1E">
      <w:start w:val="1"/>
      <w:numFmt w:val="bullet"/>
      <w:lvlText w:val="•"/>
      <w:lvlJc w:val="left"/>
      <w:pPr>
        <w:tabs>
          <w:tab w:val="num" w:pos="720"/>
        </w:tabs>
        <w:ind w:left="720" w:hanging="360"/>
      </w:pPr>
      <w:rPr>
        <w:rFonts w:ascii="Arial" w:hAnsi="Arial" w:hint="default"/>
      </w:rPr>
    </w:lvl>
    <w:lvl w:ilvl="1" w:tplc="469053B6" w:tentative="1">
      <w:start w:val="1"/>
      <w:numFmt w:val="bullet"/>
      <w:lvlText w:val="•"/>
      <w:lvlJc w:val="left"/>
      <w:pPr>
        <w:tabs>
          <w:tab w:val="num" w:pos="1440"/>
        </w:tabs>
        <w:ind w:left="1440" w:hanging="360"/>
      </w:pPr>
      <w:rPr>
        <w:rFonts w:ascii="Arial" w:hAnsi="Arial" w:hint="default"/>
      </w:rPr>
    </w:lvl>
    <w:lvl w:ilvl="2" w:tplc="D048EDF4" w:tentative="1">
      <w:start w:val="1"/>
      <w:numFmt w:val="bullet"/>
      <w:lvlText w:val="•"/>
      <w:lvlJc w:val="left"/>
      <w:pPr>
        <w:tabs>
          <w:tab w:val="num" w:pos="2160"/>
        </w:tabs>
        <w:ind w:left="2160" w:hanging="360"/>
      </w:pPr>
      <w:rPr>
        <w:rFonts w:ascii="Arial" w:hAnsi="Arial" w:hint="default"/>
      </w:rPr>
    </w:lvl>
    <w:lvl w:ilvl="3" w:tplc="6CD46366" w:tentative="1">
      <w:start w:val="1"/>
      <w:numFmt w:val="bullet"/>
      <w:lvlText w:val="•"/>
      <w:lvlJc w:val="left"/>
      <w:pPr>
        <w:tabs>
          <w:tab w:val="num" w:pos="2880"/>
        </w:tabs>
        <w:ind w:left="2880" w:hanging="360"/>
      </w:pPr>
      <w:rPr>
        <w:rFonts w:ascii="Arial" w:hAnsi="Arial" w:hint="default"/>
      </w:rPr>
    </w:lvl>
    <w:lvl w:ilvl="4" w:tplc="9BEA0EB4" w:tentative="1">
      <w:start w:val="1"/>
      <w:numFmt w:val="bullet"/>
      <w:lvlText w:val="•"/>
      <w:lvlJc w:val="left"/>
      <w:pPr>
        <w:tabs>
          <w:tab w:val="num" w:pos="3600"/>
        </w:tabs>
        <w:ind w:left="3600" w:hanging="360"/>
      </w:pPr>
      <w:rPr>
        <w:rFonts w:ascii="Arial" w:hAnsi="Arial" w:hint="default"/>
      </w:rPr>
    </w:lvl>
    <w:lvl w:ilvl="5" w:tplc="6EE48DFE" w:tentative="1">
      <w:start w:val="1"/>
      <w:numFmt w:val="bullet"/>
      <w:lvlText w:val="•"/>
      <w:lvlJc w:val="left"/>
      <w:pPr>
        <w:tabs>
          <w:tab w:val="num" w:pos="4320"/>
        </w:tabs>
        <w:ind w:left="4320" w:hanging="360"/>
      </w:pPr>
      <w:rPr>
        <w:rFonts w:ascii="Arial" w:hAnsi="Arial" w:hint="default"/>
      </w:rPr>
    </w:lvl>
    <w:lvl w:ilvl="6" w:tplc="EE9A36A0" w:tentative="1">
      <w:start w:val="1"/>
      <w:numFmt w:val="bullet"/>
      <w:lvlText w:val="•"/>
      <w:lvlJc w:val="left"/>
      <w:pPr>
        <w:tabs>
          <w:tab w:val="num" w:pos="5040"/>
        </w:tabs>
        <w:ind w:left="5040" w:hanging="360"/>
      </w:pPr>
      <w:rPr>
        <w:rFonts w:ascii="Arial" w:hAnsi="Arial" w:hint="default"/>
      </w:rPr>
    </w:lvl>
    <w:lvl w:ilvl="7" w:tplc="0D840644" w:tentative="1">
      <w:start w:val="1"/>
      <w:numFmt w:val="bullet"/>
      <w:lvlText w:val="•"/>
      <w:lvlJc w:val="left"/>
      <w:pPr>
        <w:tabs>
          <w:tab w:val="num" w:pos="5760"/>
        </w:tabs>
        <w:ind w:left="5760" w:hanging="360"/>
      </w:pPr>
      <w:rPr>
        <w:rFonts w:ascii="Arial" w:hAnsi="Arial" w:hint="default"/>
      </w:rPr>
    </w:lvl>
    <w:lvl w:ilvl="8" w:tplc="981843FC" w:tentative="1">
      <w:start w:val="1"/>
      <w:numFmt w:val="bullet"/>
      <w:lvlText w:val="•"/>
      <w:lvlJc w:val="left"/>
      <w:pPr>
        <w:tabs>
          <w:tab w:val="num" w:pos="6480"/>
        </w:tabs>
        <w:ind w:left="6480" w:hanging="360"/>
      </w:pPr>
      <w:rPr>
        <w:rFonts w:ascii="Arial" w:hAnsi="Arial" w:hint="default"/>
      </w:r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2FA1324"/>
    <w:multiLevelType w:val="hybridMultilevel"/>
    <w:tmpl w:val="24845E1E"/>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440749E"/>
    <w:multiLevelType w:val="hybridMultilevel"/>
    <w:tmpl w:val="35E026C4"/>
    <w:lvl w:ilvl="0" w:tplc="4EDCB864">
      <w:start w:val="1"/>
      <w:numFmt w:val="bullet"/>
      <w:lvlText w:val="-"/>
      <w:lvlJc w:val="left"/>
      <w:pPr>
        <w:ind w:left="1080" w:hanging="360"/>
      </w:pPr>
      <w:rPr>
        <w:rFonts w:ascii="Courier New" w:hAnsi="Courier New" w:hint="default"/>
        <w:b w:val="0"/>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24AE67D8"/>
    <w:multiLevelType w:val="hybridMultilevel"/>
    <w:tmpl w:val="25881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4BA3767"/>
    <w:multiLevelType w:val="multilevel"/>
    <w:tmpl w:val="427E3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2A6D5FD3"/>
    <w:multiLevelType w:val="hybridMultilevel"/>
    <w:tmpl w:val="D6B8F0A4"/>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40304EF"/>
    <w:multiLevelType w:val="hybridMultilevel"/>
    <w:tmpl w:val="1656524C"/>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36602DF9"/>
    <w:multiLevelType w:val="hybridMultilevel"/>
    <w:tmpl w:val="332C9D6A"/>
    <w:lvl w:ilvl="0" w:tplc="9BF6B688">
      <w:start w:val="1"/>
      <w:numFmt w:val="decimal"/>
      <w:pStyle w:val="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DC621A8"/>
    <w:multiLevelType w:val="hybridMultilevel"/>
    <w:tmpl w:val="DBEC7C4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nsid w:val="3F863E18"/>
    <w:multiLevelType w:val="hybridMultilevel"/>
    <w:tmpl w:val="8C8448D4"/>
    <w:lvl w:ilvl="0" w:tplc="9B48B9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FB25F5A"/>
    <w:multiLevelType w:val="hybridMultilevel"/>
    <w:tmpl w:val="9964408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2A45485"/>
    <w:multiLevelType w:val="hybridMultilevel"/>
    <w:tmpl w:val="78220B2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502199C"/>
    <w:multiLevelType w:val="hybridMultilevel"/>
    <w:tmpl w:val="79262B7C"/>
    <w:lvl w:ilvl="0" w:tplc="ED28A1F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63B7B94"/>
    <w:multiLevelType w:val="hybridMultilevel"/>
    <w:tmpl w:val="3D66CA50"/>
    <w:lvl w:ilvl="0" w:tplc="260E6348">
      <w:start w:val="1"/>
      <w:numFmt w:val="bullet"/>
      <w:lvlText w:val=""/>
      <w:lvlJc w:val="left"/>
      <w:pPr>
        <w:ind w:left="720" w:hanging="360"/>
      </w:pPr>
      <w:rPr>
        <w:rFonts w:ascii="Wingdings 2" w:hAnsi="Wingdings 2" w:hint="default"/>
        <w:color w:val="808080" w:themeColor="background1" w:themeShade="8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8AE6C66"/>
    <w:multiLevelType w:val="hybridMultilevel"/>
    <w:tmpl w:val="B75E3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93D5F47"/>
    <w:multiLevelType w:val="hybridMultilevel"/>
    <w:tmpl w:val="CC682A4C"/>
    <w:lvl w:ilvl="0" w:tplc="6B6ED7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B966FAD"/>
    <w:multiLevelType w:val="hybridMultilevel"/>
    <w:tmpl w:val="45485DB6"/>
    <w:lvl w:ilvl="0" w:tplc="260E6348">
      <w:start w:val="1"/>
      <w:numFmt w:val="bullet"/>
      <w:lvlText w:val=""/>
      <w:lvlJc w:val="left"/>
      <w:pPr>
        <w:ind w:left="720" w:hanging="360"/>
      </w:pPr>
      <w:rPr>
        <w:rFonts w:ascii="Wingdings 2" w:hAnsi="Wingdings 2" w:hint="default"/>
        <w:b w:val="0"/>
        <w:color w:val="808080" w:themeColor="background1" w:themeShade="80"/>
      </w:rPr>
    </w:lvl>
    <w:lvl w:ilvl="1" w:tplc="AFFAB68E">
      <w:numFmt w:val="bullet"/>
      <w:lvlText w:val="•"/>
      <w:lvlJc w:val="left"/>
      <w:pPr>
        <w:ind w:left="1800" w:hanging="72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BD438DD"/>
    <w:multiLevelType w:val="hybridMultilevel"/>
    <w:tmpl w:val="906E7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CE24C3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171233C"/>
    <w:multiLevelType w:val="multilevel"/>
    <w:tmpl w:val="D44C24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6AF4AF5"/>
    <w:multiLevelType w:val="hybridMultilevel"/>
    <w:tmpl w:val="BF02556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96718EA"/>
    <w:multiLevelType w:val="hybridMultilevel"/>
    <w:tmpl w:val="FE7EEFD2"/>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C347550"/>
    <w:multiLevelType w:val="hybridMultilevel"/>
    <w:tmpl w:val="8ADEF19C"/>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F4E7E21"/>
    <w:multiLevelType w:val="hybridMultilevel"/>
    <w:tmpl w:val="27402F60"/>
    <w:lvl w:ilvl="0" w:tplc="260E6348">
      <w:start w:val="1"/>
      <w:numFmt w:val="bullet"/>
      <w:lvlText w:val=""/>
      <w:lvlJc w:val="left"/>
      <w:pPr>
        <w:ind w:left="720" w:hanging="360"/>
      </w:pPr>
      <w:rPr>
        <w:rFonts w:ascii="Wingdings 2" w:hAnsi="Wingdings 2" w:hint="default"/>
        <w:b w:val="0"/>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2A07104"/>
    <w:multiLevelType w:val="hybridMultilevel"/>
    <w:tmpl w:val="ECECBF64"/>
    <w:lvl w:ilvl="0" w:tplc="D1A8B1A6">
      <w:start w:val="1"/>
      <w:numFmt w:val="bullet"/>
      <w:lvlText w:val="•"/>
      <w:lvlJc w:val="left"/>
      <w:pPr>
        <w:tabs>
          <w:tab w:val="num" w:pos="720"/>
        </w:tabs>
        <w:ind w:left="720" w:hanging="360"/>
      </w:pPr>
      <w:rPr>
        <w:rFonts w:ascii="Arial" w:hAnsi="Arial" w:hint="default"/>
      </w:rPr>
    </w:lvl>
    <w:lvl w:ilvl="1" w:tplc="9ABCAA4A" w:tentative="1">
      <w:start w:val="1"/>
      <w:numFmt w:val="bullet"/>
      <w:lvlText w:val="•"/>
      <w:lvlJc w:val="left"/>
      <w:pPr>
        <w:tabs>
          <w:tab w:val="num" w:pos="1440"/>
        </w:tabs>
        <w:ind w:left="1440" w:hanging="360"/>
      </w:pPr>
      <w:rPr>
        <w:rFonts w:ascii="Arial" w:hAnsi="Arial" w:hint="default"/>
      </w:rPr>
    </w:lvl>
    <w:lvl w:ilvl="2" w:tplc="5678AC16" w:tentative="1">
      <w:start w:val="1"/>
      <w:numFmt w:val="bullet"/>
      <w:lvlText w:val="•"/>
      <w:lvlJc w:val="left"/>
      <w:pPr>
        <w:tabs>
          <w:tab w:val="num" w:pos="2160"/>
        </w:tabs>
        <w:ind w:left="2160" w:hanging="360"/>
      </w:pPr>
      <w:rPr>
        <w:rFonts w:ascii="Arial" w:hAnsi="Arial" w:hint="default"/>
      </w:rPr>
    </w:lvl>
    <w:lvl w:ilvl="3" w:tplc="42EAA0AE" w:tentative="1">
      <w:start w:val="1"/>
      <w:numFmt w:val="bullet"/>
      <w:lvlText w:val="•"/>
      <w:lvlJc w:val="left"/>
      <w:pPr>
        <w:tabs>
          <w:tab w:val="num" w:pos="2880"/>
        </w:tabs>
        <w:ind w:left="2880" w:hanging="360"/>
      </w:pPr>
      <w:rPr>
        <w:rFonts w:ascii="Arial" w:hAnsi="Arial" w:hint="default"/>
      </w:rPr>
    </w:lvl>
    <w:lvl w:ilvl="4" w:tplc="D6421FE8" w:tentative="1">
      <w:start w:val="1"/>
      <w:numFmt w:val="bullet"/>
      <w:lvlText w:val="•"/>
      <w:lvlJc w:val="left"/>
      <w:pPr>
        <w:tabs>
          <w:tab w:val="num" w:pos="3600"/>
        </w:tabs>
        <w:ind w:left="3600" w:hanging="360"/>
      </w:pPr>
      <w:rPr>
        <w:rFonts w:ascii="Arial" w:hAnsi="Arial" w:hint="default"/>
      </w:rPr>
    </w:lvl>
    <w:lvl w:ilvl="5" w:tplc="8982ADE6" w:tentative="1">
      <w:start w:val="1"/>
      <w:numFmt w:val="bullet"/>
      <w:lvlText w:val="•"/>
      <w:lvlJc w:val="left"/>
      <w:pPr>
        <w:tabs>
          <w:tab w:val="num" w:pos="4320"/>
        </w:tabs>
        <w:ind w:left="4320" w:hanging="360"/>
      </w:pPr>
      <w:rPr>
        <w:rFonts w:ascii="Arial" w:hAnsi="Arial" w:hint="default"/>
      </w:rPr>
    </w:lvl>
    <w:lvl w:ilvl="6" w:tplc="D4789442" w:tentative="1">
      <w:start w:val="1"/>
      <w:numFmt w:val="bullet"/>
      <w:lvlText w:val="•"/>
      <w:lvlJc w:val="left"/>
      <w:pPr>
        <w:tabs>
          <w:tab w:val="num" w:pos="5040"/>
        </w:tabs>
        <w:ind w:left="5040" w:hanging="360"/>
      </w:pPr>
      <w:rPr>
        <w:rFonts w:ascii="Arial" w:hAnsi="Arial" w:hint="default"/>
      </w:rPr>
    </w:lvl>
    <w:lvl w:ilvl="7" w:tplc="3056AB1A" w:tentative="1">
      <w:start w:val="1"/>
      <w:numFmt w:val="bullet"/>
      <w:lvlText w:val="•"/>
      <w:lvlJc w:val="left"/>
      <w:pPr>
        <w:tabs>
          <w:tab w:val="num" w:pos="5760"/>
        </w:tabs>
        <w:ind w:left="5760" w:hanging="360"/>
      </w:pPr>
      <w:rPr>
        <w:rFonts w:ascii="Arial" w:hAnsi="Arial" w:hint="default"/>
      </w:rPr>
    </w:lvl>
    <w:lvl w:ilvl="8" w:tplc="8ED60942" w:tentative="1">
      <w:start w:val="1"/>
      <w:numFmt w:val="bullet"/>
      <w:lvlText w:val="•"/>
      <w:lvlJc w:val="left"/>
      <w:pPr>
        <w:tabs>
          <w:tab w:val="num" w:pos="6480"/>
        </w:tabs>
        <w:ind w:left="6480" w:hanging="360"/>
      </w:pPr>
      <w:rPr>
        <w:rFonts w:ascii="Arial" w:hAnsi="Arial" w:hint="default"/>
      </w:rPr>
    </w:lvl>
  </w:abstractNum>
  <w:abstractNum w:abstractNumId="39">
    <w:nsid w:val="659D7F6C"/>
    <w:multiLevelType w:val="hybridMultilevel"/>
    <w:tmpl w:val="70F4AB24"/>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C622AA3"/>
    <w:multiLevelType w:val="hybridMultilevel"/>
    <w:tmpl w:val="D50003F0"/>
    <w:lvl w:ilvl="0" w:tplc="260E6348">
      <w:start w:val="1"/>
      <w:numFmt w:val="bullet"/>
      <w:lvlText w:val=""/>
      <w:lvlJc w:val="left"/>
      <w:pPr>
        <w:tabs>
          <w:tab w:val="num" w:pos="720"/>
        </w:tabs>
        <w:ind w:left="720" w:hanging="360"/>
      </w:pPr>
      <w:rPr>
        <w:rFonts w:ascii="Wingdings 2" w:hAnsi="Wingdings 2" w:hint="default"/>
        <w:color w:val="808080" w:themeColor="background1" w:themeShade="80"/>
      </w:rPr>
    </w:lvl>
    <w:lvl w:ilvl="1" w:tplc="F9EEE3AE">
      <w:start w:val="1"/>
      <w:numFmt w:val="bullet"/>
      <w:lvlText w:val=""/>
      <w:lvlJc w:val="left"/>
      <w:pPr>
        <w:tabs>
          <w:tab w:val="num" w:pos="1440"/>
        </w:tabs>
        <w:ind w:left="1440" w:hanging="360"/>
      </w:pPr>
      <w:rPr>
        <w:rFonts w:ascii="Symbol" w:hAnsi="Symbol" w:hint="default"/>
      </w:rPr>
    </w:lvl>
    <w:lvl w:ilvl="2" w:tplc="33D269DA">
      <w:start w:val="1"/>
      <w:numFmt w:val="bullet"/>
      <w:lvlText w:val=""/>
      <w:lvlJc w:val="left"/>
      <w:pPr>
        <w:tabs>
          <w:tab w:val="num" w:pos="2160"/>
        </w:tabs>
        <w:ind w:left="2160" w:hanging="360"/>
      </w:pPr>
      <w:rPr>
        <w:rFonts w:ascii="Symbol" w:hAnsi="Symbol" w:hint="default"/>
      </w:rPr>
    </w:lvl>
    <w:lvl w:ilvl="3" w:tplc="6D44253C" w:tentative="1">
      <w:start w:val="1"/>
      <w:numFmt w:val="bullet"/>
      <w:lvlText w:val=""/>
      <w:lvlJc w:val="left"/>
      <w:pPr>
        <w:tabs>
          <w:tab w:val="num" w:pos="2880"/>
        </w:tabs>
        <w:ind w:left="2880" w:hanging="360"/>
      </w:pPr>
      <w:rPr>
        <w:rFonts w:ascii="Symbol" w:hAnsi="Symbol" w:hint="default"/>
      </w:rPr>
    </w:lvl>
    <w:lvl w:ilvl="4" w:tplc="F3B88A64" w:tentative="1">
      <w:start w:val="1"/>
      <w:numFmt w:val="bullet"/>
      <w:lvlText w:val=""/>
      <w:lvlJc w:val="left"/>
      <w:pPr>
        <w:tabs>
          <w:tab w:val="num" w:pos="3600"/>
        </w:tabs>
        <w:ind w:left="3600" w:hanging="360"/>
      </w:pPr>
      <w:rPr>
        <w:rFonts w:ascii="Symbol" w:hAnsi="Symbol" w:hint="default"/>
      </w:rPr>
    </w:lvl>
    <w:lvl w:ilvl="5" w:tplc="9ABE018A" w:tentative="1">
      <w:start w:val="1"/>
      <w:numFmt w:val="bullet"/>
      <w:lvlText w:val=""/>
      <w:lvlJc w:val="left"/>
      <w:pPr>
        <w:tabs>
          <w:tab w:val="num" w:pos="4320"/>
        </w:tabs>
        <w:ind w:left="4320" w:hanging="360"/>
      </w:pPr>
      <w:rPr>
        <w:rFonts w:ascii="Symbol" w:hAnsi="Symbol" w:hint="default"/>
      </w:rPr>
    </w:lvl>
    <w:lvl w:ilvl="6" w:tplc="79B45AE8" w:tentative="1">
      <w:start w:val="1"/>
      <w:numFmt w:val="bullet"/>
      <w:lvlText w:val=""/>
      <w:lvlJc w:val="left"/>
      <w:pPr>
        <w:tabs>
          <w:tab w:val="num" w:pos="5040"/>
        </w:tabs>
        <w:ind w:left="5040" w:hanging="360"/>
      </w:pPr>
      <w:rPr>
        <w:rFonts w:ascii="Symbol" w:hAnsi="Symbol" w:hint="default"/>
      </w:rPr>
    </w:lvl>
    <w:lvl w:ilvl="7" w:tplc="F1026A76" w:tentative="1">
      <w:start w:val="1"/>
      <w:numFmt w:val="bullet"/>
      <w:lvlText w:val=""/>
      <w:lvlJc w:val="left"/>
      <w:pPr>
        <w:tabs>
          <w:tab w:val="num" w:pos="5760"/>
        </w:tabs>
        <w:ind w:left="5760" w:hanging="360"/>
      </w:pPr>
      <w:rPr>
        <w:rFonts w:ascii="Symbol" w:hAnsi="Symbol" w:hint="default"/>
      </w:rPr>
    </w:lvl>
    <w:lvl w:ilvl="8" w:tplc="B7FCD5FE" w:tentative="1">
      <w:start w:val="1"/>
      <w:numFmt w:val="bullet"/>
      <w:lvlText w:val=""/>
      <w:lvlJc w:val="left"/>
      <w:pPr>
        <w:tabs>
          <w:tab w:val="num" w:pos="6480"/>
        </w:tabs>
        <w:ind w:left="6480" w:hanging="360"/>
      </w:pPr>
      <w:rPr>
        <w:rFonts w:ascii="Symbol" w:hAnsi="Symbol" w:hint="default"/>
      </w:rPr>
    </w:lvl>
  </w:abstractNum>
  <w:abstractNum w:abstractNumId="41">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DB45B4D"/>
    <w:multiLevelType w:val="hybridMultilevel"/>
    <w:tmpl w:val="C0109B0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0B06343"/>
    <w:multiLevelType w:val="hybridMultilevel"/>
    <w:tmpl w:val="79A8856E"/>
    <w:lvl w:ilvl="0" w:tplc="260E6348">
      <w:start w:val="1"/>
      <w:numFmt w:val="bullet"/>
      <w:lvlText w:val=""/>
      <w:lvlJc w:val="left"/>
      <w:pPr>
        <w:ind w:left="720" w:hanging="360"/>
      </w:pPr>
      <w:rPr>
        <w:rFonts w:ascii="Wingdings 2" w:hAnsi="Wingdings 2" w:hint="default"/>
        <w:color w:val="808080" w:themeColor="background1" w:themeShade="8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63B1173"/>
    <w:multiLevelType w:val="hybridMultilevel"/>
    <w:tmpl w:val="3F88A6DA"/>
    <w:lvl w:ilvl="0" w:tplc="4EDCB864">
      <w:start w:val="1"/>
      <w:numFmt w:val="bullet"/>
      <w:lvlText w:val="-"/>
      <w:lvlJc w:val="left"/>
      <w:pPr>
        <w:ind w:left="1074" w:hanging="360"/>
      </w:pPr>
      <w:rPr>
        <w:rFonts w:ascii="Courier New" w:hAnsi="Courier New" w:hint="default"/>
        <w:color w:val="808080" w:themeColor="background1" w:themeShade="80"/>
      </w:rPr>
    </w:lvl>
    <w:lvl w:ilvl="1" w:tplc="4EDCB864">
      <w:start w:val="1"/>
      <w:numFmt w:val="bullet"/>
      <w:lvlText w:val="-"/>
      <w:lvlJc w:val="left"/>
      <w:pPr>
        <w:ind w:left="1794" w:hanging="360"/>
      </w:pPr>
      <w:rPr>
        <w:rFonts w:ascii="Courier New" w:hAnsi="Courier New" w:hint="default"/>
      </w:rPr>
    </w:lvl>
    <w:lvl w:ilvl="2" w:tplc="08090005">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5">
    <w:nsid w:val="78B74795"/>
    <w:multiLevelType w:val="hybridMultilevel"/>
    <w:tmpl w:val="AC46971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E420F50"/>
    <w:multiLevelType w:val="hybridMultilevel"/>
    <w:tmpl w:val="3BFED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F041DA6"/>
    <w:multiLevelType w:val="hybridMultilevel"/>
    <w:tmpl w:val="581204B0"/>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F4D02F6"/>
    <w:multiLevelType w:val="hybridMultilevel"/>
    <w:tmpl w:val="93CC97D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32"/>
  </w:num>
  <w:num w:numId="8">
    <w:abstractNumId w:val="18"/>
  </w:num>
  <w:num w:numId="9">
    <w:abstractNumId w:val="33"/>
  </w:num>
  <w:num w:numId="10">
    <w:abstractNumId w:val="27"/>
  </w:num>
  <w:num w:numId="11">
    <w:abstractNumId w:val="2"/>
  </w:num>
  <w:num w:numId="12">
    <w:abstractNumId w:val="42"/>
  </w:num>
  <w:num w:numId="13">
    <w:abstractNumId w:val="25"/>
  </w:num>
  <w:num w:numId="14">
    <w:abstractNumId w:val="47"/>
  </w:num>
  <w:num w:numId="15">
    <w:abstractNumId w:val="21"/>
  </w:num>
  <w:num w:numId="16">
    <w:abstractNumId w:val="40"/>
  </w:num>
  <w:num w:numId="17">
    <w:abstractNumId w:val="9"/>
  </w:num>
  <w:num w:numId="18">
    <w:abstractNumId w:val="7"/>
  </w:num>
  <w:num w:numId="19">
    <w:abstractNumId w:val="44"/>
  </w:num>
  <w:num w:numId="20">
    <w:abstractNumId w:val="20"/>
  </w:num>
  <w:num w:numId="21">
    <w:abstractNumId w:val="29"/>
  </w:num>
  <w:num w:numId="22">
    <w:abstractNumId w:val="8"/>
  </w:num>
  <w:num w:numId="23">
    <w:abstractNumId w:val="26"/>
  </w:num>
  <w:num w:numId="24">
    <w:abstractNumId w:val="6"/>
  </w:num>
  <w:num w:numId="25">
    <w:abstractNumId w:val="6"/>
    <w:lvlOverride w:ilvl="0">
      <w:lvl w:ilvl="0" w:tplc="0809000F">
        <w:start w:val="1"/>
        <w:numFmt w:val="lowerLetter"/>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6">
    <w:abstractNumId w:val="4"/>
  </w:num>
  <w:num w:numId="27">
    <w:abstractNumId w:val="36"/>
  </w:num>
  <w:num w:numId="28">
    <w:abstractNumId w:val="3"/>
  </w:num>
  <w:num w:numId="29">
    <w:abstractNumId w:val="39"/>
  </w:num>
  <w:num w:numId="30">
    <w:abstractNumId w:val="11"/>
  </w:num>
  <w:num w:numId="31">
    <w:abstractNumId w:val="13"/>
  </w:num>
  <w:num w:numId="32">
    <w:abstractNumId w:val="38"/>
  </w:num>
  <w:num w:numId="33">
    <w:abstractNumId w:val="12"/>
  </w:num>
  <w:num w:numId="34">
    <w:abstractNumId w:val="22"/>
  </w:num>
  <w:num w:numId="35">
    <w:abstractNumId w:val="15"/>
  </w:num>
  <w:num w:numId="36">
    <w:abstractNumId w:val="34"/>
  </w:num>
  <w:num w:numId="37">
    <w:abstractNumId w:val="24"/>
  </w:num>
  <w:num w:numId="38">
    <w:abstractNumId w:val="45"/>
  </w:num>
  <w:num w:numId="39">
    <w:abstractNumId w:val="28"/>
  </w:num>
  <w:num w:numId="40">
    <w:abstractNumId w:val="35"/>
  </w:num>
  <w:num w:numId="41">
    <w:abstractNumId w:val="23"/>
  </w:num>
  <w:num w:numId="42">
    <w:abstractNumId w:val="30"/>
  </w:num>
  <w:num w:numId="43">
    <w:abstractNumId w:val="48"/>
  </w:num>
  <w:num w:numId="44">
    <w:abstractNumId w:val="43"/>
  </w:num>
  <w:num w:numId="45">
    <w:abstractNumId w:val="16"/>
  </w:num>
  <w:num w:numId="46">
    <w:abstractNumId w:val="19"/>
  </w:num>
  <w:num w:numId="47">
    <w:abstractNumId w:val="37"/>
  </w:num>
  <w:num w:numId="48">
    <w:abstractNumId w:val="31"/>
  </w:num>
  <w:num w:numId="49">
    <w:abstractNumId w:val="46"/>
  </w:num>
  <w:num w:numId="50">
    <w:abstractNumId w:val="17"/>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BCMN">
    <w15:presenceInfo w15:providerId="None" w15:userId="CBC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s-ES" w:vendorID="64" w:dllVersion="131078" w:nlCheck="1" w:checkStyle="1"/>
  <w:proofState w:spelling="clean" w:grammar="clean"/>
  <w:defaultTabStop w:val="720"/>
  <w:hyphenationZone w:val="425"/>
  <w:characterSpacingControl w:val="doNotCompress"/>
  <w:hdrShapeDefaults>
    <o:shapedefaults v:ext="edit" spidmax="2049">
      <v:textbox inset="5.85pt,.7pt,5.85pt,.7pt"/>
    </o:shapedefaults>
  </w:hdrShapeDefaults>
  <w:footnotePr>
    <w:numFmt w:val="lowerRoman"/>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0A3"/>
    <w:rsid w:val="00000021"/>
    <w:rsid w:val="00000363"/>
    <w:rsid w:val="000006E4"/>
    <w:rsid w:val="00000AE2"/>
    <w:rsid w:val="000013B5"/>
    <w:rsid w:val="000029E0"/>
    <w:rsid w:val="00002BD5"/>
    <w:rsid w:val="00002F8C"/>
    <w:rsid w:val="0000327C"/>
    <w:rsid w:val="0000336F"/>
    <w:rsid w:val="000046D6"/>
    <w:rsid w:val="00005080"/>
    <w:rsid w:val="000051F0"/>
    <w:rsid w:val="000054E1"/>
    <w:rsid w:val="000056F6"/>
    <w:rsid w:val="00005726"/>
    <w:rsid w:val="00005A4B"/>
    <w:rsid w:val="00005B5B"/>
    <w:rsid w:val="00005EE4"/>
    <w:rsid w:val="00006885"/>
    <w:rsid w:val="00006A84"/>
    <w:rsid w:val="00007FB4"/>
    <w:rsid w:val="000103AB"/>
    <w:rsid w:val="00011978"/>
    <w:rsid w:val="00011C1A"/>
    <w:rsid w:val="0001268C"/>
    <w:rsid w:val="00012AF0"/>
    <w:rsid w:val="0001335A"/>
    <w:rsid w:val="000138E1"/>
    <w:rsid w:val="00013B97"/>
    <w:rsid w:val="00014522"/>
    <w:rsid w:val="000145CC"/>
    <w:rsid w:val="0001487B"/>
    <w:rsid w:val="00014909"/>
    <w:rsid w:val="00014A87"/>
    <w:rsid w:val="00014C13"/>
    <w:rsid w:val="00014CA5"/>
    <w:rsid w:val="00014ED9"/>
    <w:rsid w:val="00015AB7"/>
    <w:rsid w:val="00015D65"/>
    <w:rsid w:val="00015F02"/>
    <w:rsid w:val="00015F29"/>
    <w:rsid w:val="0001616C"/>
    <w:rsid w:val="00016A78"/>
    <w:rsid w:val="00016C3B"/>
    <w:rsid w:val="00016F71"/>
    <w:rsid w:val="00016FD7"/>
    <w:rsid w:val="00017541"/>
    <w:rsid w:val="00017C4B"/>
    <w:rsid w:val="00020749"/>
    <w:rsid w:val="00020F66"/>
    <w:rsid w:val="00020FDD"/>
    <w:rsid w:val="000210DD"/>
    <w:rsid w:val="00021F3F"/>
    <w:rsid w:val="00022032"/>
    <w:rsid w:val="00022173"/>
    <w:rsid w:val="0002233C"/>
    <w:rsid w:val="00022586"/>
    <w:rsid w:val="00022A71"/>
    <w:rsid w:val="00023523"/>
    <w:rsid w:val="0002389D"/>
    <w:rsid w:val="00023A64"/>
    <w:rsid w:val="000244E2"/>
    <w:rsid w:val="000246FF"/>
    <w:rsid w:val="000250DC"/>
    <w:rsid w:val="000254C0"/>
    <w:rsid w:val="0002584D"/>
    <w:rsid w:val="00025BD2"/>
    <w:rsid w:val="00025E62"/>
    <w:rsid w:val="00025EA7"/>
    <w:rsid w:val="00025F63"/>
    <w:rsid w:val="00026356"/>
    <w:rsid w:val="00026475"/>
    <w:rsid w:val="00027113"/>
    <w:rsid w:val="00030371"/>
    <w:rsid w:val="000306E2"/>
    <w:rsid w:val="000309FF"/>
    <w:rsid w:val="00030CD2"/>
    <w:rsid w:val="00030D01"/>
    <w:rsid w:val="00030D56"/>
    <w:rsid w:val="00031748"/>
    <w:rsid w:val="000319DB"/>
    <w:rsid w:val="00031B03"/>
    <w:rsid w:val="00031B0C"/>
    <w:rsid w:val="00032486"/>
    <w:rsid w:val="00032975"/>
    <w:rsid w:val="00033471"/>
    <w:rsid w:val="0003369D"/>
    <w:rsid w:val="00033D90"/>
    <w:rsid w:val="00034047"/>
    <w:rsid w:val="00034127"/>
    <w:rsid w:val="0003442D"/>
    <w:rsid w:val="000348AF"/>
    <w:rsid w:val="000348DD"/>
    <w:rsid w:val="00035050"/>
    <w:rsid w:val="00035666"/>
    <w:rsid w:val="00035B7D"/>
    <w:rsid w:val="000363D3"/>
    <w:rsid w:val="00036A31"/>
    <w:rsid w:val="00036D6D"/>
    <w:rsid w:val="0003700C"/>
    <w:rsid w:val="00040A36"/>
    <w:rsid w:val="00041306"/>
    <w:rsid w:val="00041595"/>
    <w:rsid w:val="00041E02"/>
    <w:rsid w:val="00042171"/>
    <w:rsid w:val="000421AF"/>
    <w:rsid w:val="00042980"/>
    <w:rsid w:val="00042A03"/>
    <w:rsid w:val="00042CE0"/>
    <w:rsid w:val="00042E18"/>
    <w:rsid w:val="0004380F"/>
    <w:rsid w:val="00043DB1"/>
    <w:rsid w:val="00043DF6"/>
    <w:rsid w:val="00044507"/>
    <w:rsid w:val="000445D5"/>
    <w:rsid w:val="00044607"/>
    <w:rsid w:val="0004497A"/>
    <w:rsid w:val="00044D7D"/>
    <w:rsid w:val="0004548E"/>
    <w:rsid w:val="000456AC"/>
    <w:rsid w:val="00045728"/>
    <w:rsid w:val="0004585E"/>
    <w:rsid w:val="00046158"/>
    <w:rsid w:val="0004775C"/>
    <w:rsid w:val="00047879"/>
    <w:rsid w:val="00047940"/>
    <w:rsid w:val="00047FE2"/>
    <w:rsid w:val="00050270"/>
    <w:rsid w:val="00050641"/>
    <w:rsid w:val="0005207A"/>
    <w:rsid w:val="000522A5"/>
    <w:rsid w:val="000523C2"/>
    <w:rsid w:val="00053133"/>
    <w:rsid w:val="0005354E"/>
    <w:rsid w:val="000535C2"/>
    <w:rsid w:val="00053690"/>
    <w:rsid w:val="00053A18"/>
    <w:rsid w:val="000540C6"/>
    <w:rsid w:val="0005442E"/>
    <w:rsid w:val="00054C50"/>
    <w:rsid w:val="00054C57"/>
    <w:rsid w:val="00055292"/>
    <w:rsid w:val="00055639"/>
    <w:rsid w:val="00055810"/>
    <w:rsid w:val="00055B33"/>
    <w:rsid w:val="00055BD4"/>
    <w:rsid w:val="00055E99"/>
    <w:rsid w:val="00056052"/>
    <w:rsid w:val="00056123"/>
    <w:rsid w:val="00056243"/>
    <w:rsid w:val="000562C7"/>
    <w:rsid w:val="00056391"/>
    <w:rsid w:val="0005669E"/>
    <w:rsid w:val="000566B0"/>
    <w:rsid w:val="0005679D"/>
    <w:rsid w:val="00056C65"/>
    <w:rsid w:val="00057237"/>
    <w:rsid w:val="00057246"/>
    <w:rsid w:val="00057923"/>
    <w:rsid w:val="000579D8"/>
    <w:rsid w:val="000606F1"/>
    <w:rsid w:val="00061100"/>
    <w:rsid w:val="00061F8F"/>
    <w:rsid w:val="000622C3"/>
    <w:rsid w:val="0006281D"/>
    <w:rsid w:val="00062B20"/>
    <w:rsid w:val="00063B14"/>
    <w:rsid w:val="000644DC"/>
    <w:rsid w:val="00064B11"/>
    <w:rsid w:val="000650A0"/>
    <w:rsid w:val="000651EF"/>
    <w:rsid w:val="00065B3D"/>
    <w:rsid w:val="000666E5"/>
    <w:rsid w:val="000668AD"/>
    <w:rsid w:val="00067189"/>
    <w:rsid w:val="000671A2"/>
    <w:rsid w:val="0006736E"/>
    <w:rsid w:val="00067647"/>
    <w:rsid w:val="00067E81"/>
    <w:rsid w:val="00070AB7"/>
    <w:rsid w:val="00070D6C"/>
    <w:rsid w:val="00070DBB"/>
    <w:rsid w:val="00071179"/>
    <w:rsid w:val="00071182"/>
    <w:rsid w:val="000714EB"/>
    <w:rsid w:val="00071656"/>
    <w:rsid w:val="0007179D"/>
    <w:rsid w:val="000717E1"/>
    <w:rsid w:val="000718E7"/>
    <w:rsid w:val="00071A17"/>
    <w:rsid w:val="00071A5D"/>
    <w:rsid w:val="00071C93"/>
    <w:rsid w:val="00071D8E"/>
    <w:rsid w:val="00071D93"/>
    <w:rsid w:val="00071DC1"/>
    <w:rsid w:val="00071E25"/>
    <w:rsid w:val="000720B0"/>
    <w:rsid w:val="00072461"/>
    <w:rsid w:val="00072C2B"/>
    <w:rsid w:val="00073439"/>
    <w:rsid w:val="00073F25"/>
    <w:rsid w:val="00074441"/>
    <w:rsid w:val="000746AC"/>
    <w:rsid w:val="0007492C"/>
    <w:rsid w:val="00075428"/>
    <w:rsid w:val="0007569C"/>
    <w:rsid w:val="00075EEA"/>
    <w:rsid w:val="00076250"/>
    <w:rsid w:val="0007657E"/>
    <w:rsid w:val="000765C6"/>
    <w:rsid w:val="00076752"/>
    <w:rsid w:val="00077D06"/>
    <w:rsid w:val="00077D55"/>
    <w:rsid w:val="00077DC0"/>
    <w:rsid w:val="00077FD6"/>
    <w:rsid w:val="000802B6"/>
    <w:rsid w:val="00080C4C"/>
    <w:rsid w:val="00080ECC"/>
    <w:rsid w:val="00080FA1"/>
    <w:rsid w:val="00080FEC"/>
    <w:rsid w:val="000812F1"/>
    <w:rsid w:val="00081D1C"/>
    <w:rsid w:val="00081D8F"/>
    <w:rsid w:val="00081E0B"/>
    <w:rsid w:val="00081ECA"/>
    <w:rsid w:val="000821EC"/>
    <w:rsid w:val="00082349"/>
    <w:rsid w:val="0008261E"/>
    <w:rsid w:val="0008270D"/>
    <w:rsid w:val="00082AD6"/>
    <w:rsid w:val="00082E43"/>
    <w:rsid w:val="0008327B"/>
    <w:rsid w:val="00083504"/>
    <w:rsid w:val="00083C4C"/>
    <w:rsid w:val="00083F6C"/>
    <w:rsid w:val="000843BA"/>
    <w:rsid w:val="00084515"/>
    <w:rsid w:val="000847DF"/>
    <w:rsid w:val="00084E22"/>
    <w:rsid w:val="00084FDE"/>
    <w:rsid w:val="00085107"/>
    <w:rsid w:val="00085CBC"/>
    <w:rsid w:val="00085D02"/>
    <w:rsid w:val="00085E20"/>
    <w:rsid w:val="000863DE"/>
    <w:rsid w:val="00086780"/>
    <w:rsid w:val="000868D1"/>
    <w:rsid w:val="00087221"/>
    <w:rsid w:val="00087AFB"/>
    <w:rsid w:val="00087B8B"/>
    <w:rsid w:val="00090407"/>
    <w:rsid w:val="00090DBA"/>
    <w:rsid w:val="00090E25"/>
    <w:rsid w:val="0009142A"/>
    <w:rsid w:val="00091662"/>
    <w:rsid w:val="00091C47"/>
    <w:rsid w:val="000920AC"/>
    <w:rsid w:val="00092DDA"/>
    <w:rsid w:val="0009314E"/>
    <w:rsid w:val="000935AD"/>
    <w:rsid w:val="00093804"/>
    <w:rsid w:val="0009388E"/>
    <w:rsid w:val="00093EA0"/>
    <w:rsid w:val="00094B32"/>
    <w:rsid w:val="0009504D"/>
    <w:rsid w:val="0009514C"/>
    <w:rsid w:val="000951BF"/>
    <w:rsid w:val="000953C2"/>
    <w:rsid w:val="00095515"/>
    <w:rsid w:val="00095B20"/>
    <w:rsid w:val="000966A7"/>
    <w:rsid w:val="000967F3"/>
    <w:rsid w:val="0009688E"/>
    <w:rsid w:val="000968A2"/>
    <w:rsid w:val="000968D9"/>
    <w:rsid w:val="00096F9D"/>
    <w:rsid w:val="00097060"/>
    <w:rsid w:val="0009754B"/>
    <w:rsid w:val="000A0117"/>
    <w:rsid w:val="000A018D"/>
    <w:rsid w:val="000A032C"/>
    <w:rsid w:val="000A0F24"/>
    <w:rsid w:val="000A131F"/>
    <w:rsid w:val="000A1A06"/>
    <w:rsid w:val="000A1BDA"/>
    <w:rsid w:val="000A20CF"/>
    <w:rsid w:val="000A23E7"/>
    <w:rsid w:val="000A2433"/>
    <w:rsid w:val="000A2A54"/>
    <w:rsid w:val="000A2E66"/>
    <w:rsid w:val="000A2F07"/>
    <w:rsid w:val="000A2FD5"/>
    <w:rsid w:val="000A3700"/>
    <w:rsid w:val="000A3792"/>
    <w:rsid w:val="000A3831"/>
    <w:rsid w:val="000A38AD"/>
    <w:rsid w:val="000A3A55"/>
    <w:rsid w:val="000A3F5B"/>
    <w:rsid w:val="000A450C"/>
    <w:rsid w:val="000A483E"/>
    <w:rsid w:val="000A49D9"/>
    <w:rsid w:val="000A5039"/>
    <w:rsid w:val="000A5C2C"/>
    <w:rsid w:val="000A6491"/>
    <w:rsid w:val="000A64C6"/>
    <w:rsid w:val="000A6A46"/>
    <w:rsid w:val="000A7048"/>
    <w:rsid w:val="000A76DC"/>
    <w:rsid w:val="000A7E84"/>
    <w:rsid w:val="000B002E"/>
    <w:rsid w:val="000B05D8"/>
    <w:rsid w:val="000B0D06"/>
    <w:rsid w:val="000B1575"/>
    <w:rsid w:val="000B1719"/>
    <w:rsid w:val="000B1A73"/>
    <w:rsid w:val="000B1B24"/>
    <w:rsid w:val="000B1BAE"/>
    <w:rsid w:val="000B1DF9"/>
    <w:rsid w:val="000B207E"/>
    <w:rsid w:val="000B22AD"/>
    <w:rsid w:val="000B22C7"/>
    <w:rsid w:val="000B23DB"/>
    <w:rsid w:val="000B269A"/>
    <w:rsid w:val="000B2887"/>
    <w:rsid w:val="000B3146"/>
    <w:rsid w:val="000B3393"/>
    <w:rsid w:val="000B3476"/>
    <w:rsid w:val="000B3491"/>
    <w:rsid w:val="000B3659"/>
    <w:rsid w:val="000B3BA4"/>
    <w:rsid w:val="000B4A63"/>
    <w:rsid w:val="000B4EE0"/>
    <w:rsid w:val="000B553B"/>
    <w:rsid w:val="000B58DA"/>
    <w:rsid w:val="000B59A8"/>
    <w:rsid w:val="000B5A08"/>
    <w:rsid w:val="000B5A48"/>
    <w:rsid w:val="000B63F4"/>
    <w:rsid w:val="000B6733"/>
    <w:rsid w:val="000B67B9"/>
    <w:rsid w:val="000B6A17"/>
    <w:rsid w:val="000B6A25"/>
    <w:rsid w:val="000B6D09"/>
    <w:rsid w:val="000B7048"/>
    <w:rsid w:val="000B704E"/>
    <w:rsid w:val="000B71FE"/>
    <w:rsid w:val="000B7558"/>
    <w:rsid w:val="000C0024"/>
    <w:rsid w:val="000C06F9"/>
    <w:rsid w:val="000C077F"/>
    <w:rsid w:val="000C0E7C"/>
    <w:rsid w:val="000C1E88"/>
    <w:rsid w:val="000C2098"/>
    <w:rsid w:val="000C20D2"/>
    <w:rsid w:val="000C2394"/>
    <w:rsid w:val="000C26CE"/>
    <w:rsid w:val="000C2AC4"/>
    <w:rsid w:val="000C2DEA"/>
    <w:rsid w:val="000C3649"/>
    <w:rsid w:val="000C3CBA"/>
    <w:rsid w:val="000C4254"/>
    <w:rsid w:val="000C48EA"/>
    <w:rsid w:val="000C5106"/>
    <w:rsid w:val="000C5495"/>
    <w:rsid w:val="000C5576"/>
    <w:rsid w:val="000C599A"/>
    <w:rsid w:val="000C5C49"/>
    <w:rsid w:val="000C60BD"/>
    <w:rsid w:val="000C6166"/>
    <w:rsid w:val="000C671B"/>
    <w:rsid w:val="000C679B"/>
    <w:rsid w:val="000C6B4C"/>
    <w:rsid w:val="000C6E01"/>
    <w:rsid w:val="000C6E8D"/>
    <w:rsid w:val="000C72D0"/>
    <w:rsid w:val="000C7580"/>
    <w:rsid w:val="000D0083"/>
    <w:rsid w:val="000D011A"/>
    <w:rsid w:val="000D1058"/>
    <w:rsid w:val="000D1426"/>
    <w:rsid w:val="000D1AB5"/>
    <w:rsid w:val="000D1B31"/>
    <w:rsid w:val="000D1DB4"/>
    <w:rsid w:val="000D1FD1"/>
    <w:rsid w:val="000D255D"/>
    <w:rsid w:val="000D2834"/>
    <w:rsid w:val="000D2B6F"/>
    <w:rsid w:val="000D2E09"/>
    <w:rsid w:val="000D3068"/>
    <w:rsid w:val="000D3179"/>
    <w:rsid w:val="000D32C7"/>
    <w:rsid w:val="000D3441"/>
    <w:rsid w:val="000D3929"/>
    <w:rsid w:val="000D4BFE"/>
    <w:rsid w:val="000D5812"/>
    <w:rsid w:val="000D6967"/>
    <w:rsid w:val="000D6ACE"/>
    <w:rsid w:val="000D6E4B"/>
    <w:rsid w:val="000D77D1"/>
    <w:rsid w:val="000D7E3C"/>
    <w:rsid w:val="000E0AE0"/>
    <w:rsid w:val="000E0E4F"/>
    <w:rsid w:val="000E0F53"/>
    <w:rsid w:val="000E10C5"/>
    <w:rsid w:val="000E1240"/>
    <w:rsid w:val="000E149A"/>
    <w:rsid w:val="000E1641"/>
    <w:rsid w:val="000E2178"/>
    <w:rsid w:val="000E2602"/>
    <w:rsid w:val="000E295C"/>
    <w:rsid w:val="000E2B1A"/>
    <w:rsid w:val="000E2BD0"/>
    <w:rsid w:val="000E2E48"/>
    <w:rsid w:val="000E347E"/>
    <w:rsid w:val="000E3EA1"/>
    <w:rsid w:val="000E43FE"/>
    <w:rsid w:val="000E44D3"/>
    <w:rsid w:val="000E4A5C"/>
    <w:rsid w:val="000E4AC6"/>
    <w:rsid w:val="000E532E"/>
    <w:rsid w:val="000E5360"/>
    <w:rsid w:val="000E53F1"/>
    <w:rsid w:val="000E585F"/>
    <w:rsid w:val="000E5D0C"/>
    <w:rsid w:val="000E62EE"/>
    <w:rsid w:val="000E67BE"/>
    <w:rsid w:val="000E680C"/>
    <w:rsid w:val="000E7066"/>
    <w:rsid w:val="000E74B8"/>
    <w:rsid w:val="000E769F"/>
    <w:rsid w:val="000E7DAA"/>
    <w:rsid w:val="000E7DEB"/>
    <w:rsid w:val="000F0394"/>
    <w:rsid w:val="000F0698"/>
    <w:rsid w:val="000F0706"/>
    <w:rsid w:val="000F0D68"/>
    <w:rsid w:val="000F0E89"/>
    <w:rsid w:val="000F2205"/>
    <w:rsid w:val="000F282F"/>
    <w:rsid w:val="000F37C3"/>
    <w:rsid w:val="000F3AC6"/>
    <w:rsid w:val="000F3CE5"/>
    <w:rsid w:val="000F44BE"/>
    <w:rsid w:val="000F46C3"/>
    <w:rsid w:val="000F48CF"/>
    <w:rsid w:val="000F4904"/>
    <w:rsid w:val="000F4B41"/>
    <w:rsid w:val="000F4CE8"/>
    <w:rsid w:val="000F4F42"/>
    <w:rsid w:val="000F5D2B"/>
    <w:rsid w:val="000F6839"/>
    <w:rsid w:val="000F68AD"/>
    <w:rsid w:val="000F6B65"/>
    <w:rsid w:val="000F6CA4"/>
    <w:rsid w:val="000F7055"/>
    <w:rsid w:val="000F74C6"/>
    <w:rsid w:val="000F7801"/>
    <w:rsid w:val="000F7920"/>
    <w:rsid w:val="00100761"/>
    <w:rsid w:val="00100A47"/>
    <w:rsid w:val="00100CD2"/>
    <w:rsid w:val="00101E34"/>
    <w:rsid w:val="00102319"/>
    <w:rsid w:val="0010245A"/>
    <w:rsid w:val="00102712"/>
    <w:rsid w:val="00102731"/>
    <w:rsid w:val="001028BC"/>
    <w:rsid w:val="001033DC"/>
    <w:rsid w:val="001034D5"/>
    <w:rsid w:val="001035E5"/>
    <w:rsid w:val="00103CB1"/>
    <w:rsid w:val="001045FD"/>
    <w:rsid w:val="0010477C"/>
    <w:rsid w:val="00104957"/>
    <w:rsid w:val="00104DC0"/>
    <w:rsid w:val="001050A7"/>
    <w:rsid w:val="0010534B"/>
    <w:rsid w:val="00105442"/>
    <w:rsid w:val="001058B8"/>
    <w:rsid w:val="00105985"/>
    <w:rsid w:val="00105A65"/>
    <w:rsid w:val="00105BED"/>
    <w:rsid w:val="001060D7"/>
    <w:rsid w:val="00106A46"/>
    <w:rsid w:val="00106DAF"/>
    <w:rsid w:val="00106EF5"/>
    <w:rsid w:val="00107197"/>
    <w:rsid w:val="001077FB"/>
    <w:rsid w:val="00107A11"/>
    <w:rsid w:val="00107A4F"/>
    <w:rsid w:val="00107C44"/>
    <w:rsid w:val="00107CA3"/>
    <w:rsid w:val="001107C6"/>
    <w:rsid w:val="00110AB2"/>
    <w:rsid w:val="00110C68"/>
    <w:rsid w:val="00110D63"/>
    <w:rsid w:val="00110D77"/>
    <w:rsid w:val="00111148"/>
    <w:rsid w:val="00111656"/>
    <w:rsid w:val="00112226"/>
    <w:rsid w:val="001122B6"/>
    <w:rsid w:val="001126A2"/>
    <w:rsid w:val="00112CC3"/>
    <w:rsid w:val="001130BA"/>
    <w:rsid w:val="00113245"/>
    <w:rsid w:val="00113727"/>
    <w:rsid w:val="00114478"/>
    <w:rsid w:val="00114840"/>
    <w:rsid w:val="00114CE7"/>
    <w:rsid w:val="00115020"/>
    <w:rsid w:val="0011508E"/>
    <w:rsid w:val="00115159"/>
    <w:rsid w:val="00115414"/>
    <w:rsid w:val="001155E1"/>
    <w:rsid w:val="00115DBB"/>
    <w:rsid w:val="00115E3B"/>
    <w:rsid w:val="001161E1"/>
    <w:rsid w:val="001167B5"/>
    <w:rsid w:val="0011680C"/>
    <w:rsid w:val="00117183"/>
    <w:rsid w:val="0011798E"/>
    <w:rsid w:val="00117B32"/>
    <w:rsid w:val="00120AF0"/>
    <w:rsid w:val="00120B54"/>
    <w:rsid w:val="00120E27"/>
    <w:rsid w:val="001210B0"/>
    <w:rsid w:val="001213E8"/>
    <w:rsid w:val="00121AC4"/>
    <w:rsid w:val="0012200B"/>
    <w:rsid w:val="0012275E"/>
    <w:rsid w:val="001229E3"/>
    <w:rsid w:val="00122DD0"/>
    <w:rsid w:val="00122F95"/>
    <w:rsid w:val="001232B2"/>
    <w:rsid w:val="00123480"/>
    <w:rsid w:val="0012369B"/>
    <w:rsid w:val="00123B4F"/>
    <w:rsid w:val="00123F77"/>
    <w:rsid w:val="00123FDF"/>
    <w:rsid w:val="001244CE"/>
    <w:rsid w:val="00124716"/>
    <w:rsid w:val="00124BF3"/>
    <w:rsid w:val="00124CE4"/>
    <w:rsid w:val="00125014"/>
    <w:rsid w:val="001250D9"/>
    <w:rsid w:val="0012518A"/>
    <w:rsid w:val="001252D3"/>
    <w:rsid w:val="0012548C"/>
    <w:rsid w:val="00126091"/>
    <w:rsid w:val="00126254"/>
    <w:rsid w:val="00126735"/>
    <w:rsid w:val="001267BE"/>
    <w:rsid w:val="00126B47"/>
    <w:rsid w:val="00126F64"/>
    <w:rsid w:val="0012734D"/>
    <w:rsid w:val="001278A7"/>
    <w:rsid w:val="00127D51"/>
    <w:rsid w:val="001302E7"/>
    <w:rsid w:val="0013035D"/>
    <w:rsid w:val="00130E50"/>
    <w:rsid w:val="00130E73"/>
    <w:rsid w:val="00130EFD"/>
    <w:rsid w:val="0013115A"/>
    <w:rsid w:val="00131C10"/>
    <w:rsid w:val="00131F6F"/>
    <w:rsid w:val="0013205F"/>
    <w:rsid w:val="001320FF"/>
    <w:rsid w:val="00132133"/>
    <w:rsid w:val="001324CE"/>
    <w:rsid w:val="00132A9C"/>
    <w:rsid w:val="00132FAB"/>
    <w:rsid w:val="00133093"/>
    <w:rsid w:val="00133410"/>
    <w:rsid w:val="001335E3"/>
    <w:rsid w:val="00133913"/>
    <w:rsid w:val="00136149"/>
    <w:rsid w:val="00136ECA"/>
    <w:rsid w:val="00136FB3"/>
    <w:rsid w:val="0013742E"/>
    <w:rsid w:val="001375D2"/>
    <w:rsid w:val="001403EE"/>
    <w:rsid w:val="001408DD"/>
    <w:rsid w:val="00140D9A"/>
    <w:rsid w:val="00140F1C"/>
    <w:rsid w:val="00141550"/>
    <w:rsid w:val="001416BD"/>
    <w:rsid w:val="001416FB"/>
    <w:rsid w:val="00142073"/>
    <w:rsid w:val="001422D2"/>
    <w:rsid w:val="001424AF"/>
    <w:rsid w:val="0014254F"/>
    <w:rsid w:val="00142AF6"/>
    <w:rsid w:val="00142D94"/>
    <w:rsid w:val="001435ED"/>
    <w:rsid w:val="0014390E"/>
    <w:rsid w:val="001442F7"/>
    <w:rsid w:val="001444CA"/>
    <w:rsid w:val="001445F1"/>
    <w:rsid w:val="0014464C"/>
    <w:rsid w:val="00144B96"/>
    <w:rsid w:val="00144BD7"/>
    <w:rsid w:val="00144BE3"/>
    <w:rsid w:val="00145A78"/>
    <w:rsid w:val="00145E06"/>
    <w:rsid w:val="00145EC4"/>
    <w:rsid w:val="001464CD"/>
    <w:rsid w:val="0014661C"/>
    <w:rsid w:val="00146712"/>
    <w:rsid w:val="0014696F"/>
    <w:rsid w:val="00146BE3"/>
    <w:rsid w:val="00146DBC"/>
    <w:rsid w:val="001472C9"/>
    <w:rsid w:val="00147566"/>
    <w:rsid w:val="001477BB"/>
    <w:rsid w:val="00147A9D"/>
    <w:rsid w:val="00147D40"/>
    <w:rsid w:val="00147EFD"/>
    <w:rsid w:val="00150D27"/>
    <w:rsid w:val="0015170C"/>
    <w:rsid w:val="00151F3A"/>
    <w:rsid w:val="00152387"/>
    <w:rsid w:val="001538DA"/>
    <w:rsid w:val="00153BEA"/>
    <w:rsid w:val="0015403A"/>
    <w:rsid w:val="00154B4F"/>
    <w:rsid w:val="00154CA7"/>
    <w:rsid w:val="00155831"/>
    <w:rsid w:val="00156060"/>
    <w:rsid w:val="00156106"/>
    <w:rsid w:val="001561E1"/>
    <w:rsid w:val="00156B9B"/>
    <w:rsid w:val="00156EA4"/>
    <w:rsid w:val="00156F83"/>
    <w:rsid w:val="00157B34"/>
    <w:rsid w:val="00157D2F"/>
    <w:rsid w:val="00157DE0"/>
    <w:rsid w:val="00157F3E"/>
    <w:rsid w:val="0016019B"/>
    <w:rsid w:val="00160485"/>
    <w:rsid w:val="001612A6"/>
    <w:rsid w:val="001614F0"/>
    <w:rsid w:val="00161A4D"/>
    <w:rsid w:val="00161D43"/>
    <w:rsid w:val="00162018"/>
    <w:rsid w:val="0016294F"/>
    <w:rsid w:val="00162DFD"/>
    <w:rsid w:val="00163222"/>
    <w:rsid w:val="00163A0A"/>
    <w:rsid w:val="00163F88"/>
    <w:rsid w:val="00164250"/>
    <w:rsid w:val="001643CF"/>
    <w:rsid w:val="00164D19"/>
    <w:rsid w:val="00164F3E"/>
    <w:rsid w:val="00165309"/>
    <w:rsid w:val="00165F0A"/>
    <w:rsid w:val="00166744"/>
    <w:rsid w:val="0016742C"/>
    <w:rsid w:val="001674E2"/>
    <w:rsid w:val="00167540"/>
    <w:rsid w:val="00167871"/>
    <w:rsid w:val="00167D69"/>
    <w:rsid w:val="00170144"/>
    <w:rsid w:val="00170DD3"/>
    <w:rsid w:val="00170E4A"/>
    <w:rsid w:val="00170EF0"/>
    <w:rsid w:val="001711E8"/>
    <w:rsid w:val="001713C1"/>
    <w:rsid w:val="001719CF"/>
    <w:rsid w:val="00172308"/>
    <w:rsid w:val="00172AA1"/>
    <w:rsid w:val="0017443A"/>
    <w:rsid w:val="00174447"/>
    <w:rsid w:val="00174BA8"/>
    <w:rsid w:val="00174D41"/>
    <w:rsid w:val="00174E0E"/>
    <w:rsid w:val="001753D2"/>
    <w:rsid w:val="001759DA"/>
    <w:rsid w:val="00176028"/>
    <w:rsid w:val="001769E4"/>
    <w:rsid w:val="00176D2F"/>
    <w:rsid w:val="00176F7D"/>
    <w:rsid w:val="001770FB"/>
    <w:rsid w:val="0017746F"/>
    <w:rsid w:val="0018083D"/>
    <w:rsid w:val="00180A1E"/>
    <w:rsid w:val="001818AA"/>
    <w:rsid w:val="001818AD"/>
    <w:rsid w:val="00181B6A"/>
    <w:rsid w:val="00181C85"/>
    <w:rsid w:val="00182C9B"/>
    <w:rsid w:val="00182FC1"/>
    <w:rsid w:val="0018308B"/>
    <w:rsid w:val="00183468"/>
    <w:rsid w:val="001838C8"/>
    <w:rsid w:val="0018395E"/>
    <w:rsid w:val="0018396C"/>
    <w:rsid w:val="001843E4"/>
    <w:rsid w:val="00184C5F"/>
    <w:rsid w:val="00185B16"/>
    <w:rsid w:val="00185EA1"/>
    <w:rsid w:val="00185F6F"/>
    <w:rsid w:val="00186219"/>
    <w:rsid w:val="001864A4"/>
    <w:rsid w:val="0018660A"/>
    <w:rsid w:val="001869A5"/>
    <w:rsid w:val="00187B76"/>
    <w:rsid w:val="0019075D"/>
    <w:rsid w:val="001911DB"/>
    <w:rsid w:val="001912F6"/>
    <w:rsid w:val="00191468"/>
    <w:rsid w:val="00192CA5"/>
    <w:rsid w:val="00192E4E"/>
    <w:rsid w:val="00193017"/>
    <w:rsid w:val="0019342D"/>
    <w:rsid w:val="00193487"/>
    <w:rsid w:val="001937C6"/>
    <w:rsid w:val="001942BF"/>
    <w:rsid w:val="0019457B"/>
    <w:rsid w:val="00194583"/>
    <w:rsid w:val="00194593"/>
    <w:rsid w:val="001946A5"/>
    <w:rsid w:val="001949C1"/>
    <w:rsid w:val="00194C97"/>
    <w:rsid w:val="00194D10"/>
    <w:rsid w:val="0019511C"/>
    <w:rsid w:val="001951D1"/>
    <w:rsid w:val="00195219"/>
    <w:rsid w:val="00195988"/>
    <w:rsid w:val="00195ED7"/>
    <w:rsid w:val="0019603A"/>
    <w:rsid w:val="00196802"/>
    <w:rsid w:val="00196AF2"/>
    <w:rsid w:val="00196D6B"/>
    <w:rsid w:val="00196E57"/>
    <w:rsid w:val="00197129"/>
    <w:rsid w:val="001973EE"/>
    <w:rsid w:val="00197400"/>
    <w:rsid w:val="0019777F"/>
    <w:rsid w:val="001A048F"/>
    <w:rsid w:val="001A0605"/>
    <w:rsid w:val="001A06CE"/>
    <w:rsid w:val="001A07B1"/>
    <w:rsid w:val="001A0B2C"/>
    <w:rsid w:val="001A0EFD"/>
    <w:rsid w:val="001A12C9"/>
    <w:rsid w:val="001A19DA"/>
    <w:rsid w:val="001A1CBD"/>
    <w:rsid w:val="001A1D98"/>
    <w:rsid w:val="001A2586"/>
    <w:rsid w:val="001A296A"/>
    <w:rsid w:val="001A2B46"/>
    <w:rsid w:val="001A2C5E"/>
    <w:rsid w:val="001A2D88"/>
    <w:rsid w:val="001A2FDD"/>
    <w:rsid w:val="001A342A"/>
    <w:rsid w:val="001A3617"/>
    <w:rsid w:val="001A3A21"/>
    <w:rsid w:val="001A3E41"/>
    <w:rsid w:val="001A3FBF"/>
    <w:rsid w:val="001A406E"/>
    <w:rsid w:val="001A40FC"/>
    <w:rsid w:val="001A4350"/>
    <w:rsid w:val="001A4713"/>
    <w:rsid w:val="001A4DAA"/>
    <w:rsid w:val="001A4EA1"/>
    <w:rsid w:val="001A5127"/>
    <w:rsid w:val="001A53B9"/>
    <w:rsid w:val="001A554B"/>
    <w:rsid w:val="001A557D"/>
    <w:rsid w:val="001A5DAB"/>
    <w:rsid w:val="001A5F74"/>
    <w:rsid w:val="001A6106"/>
    <w:rsid w:val="001A64E6"/>
    <w:rsid w:val="001A67C6"/>
    <w:rsid w:val="001A69F1"/>
    <w:rsid w:val="001A6CCB"/>
    <w:rsid w:val="001A727F"/>
    <w:rsid w:val="001A7430"/>
    <w:rsid w:val="001A7987"/>
    <w:rsid w:val="001A7A58"/>
    <w:rsid w:val="001A7C6D"/>
    <w:rsid w:val="001B05F0"/>
    <w:rsid w:val="001B07E0"/>
    <w:rsid w:val="001B1164"/>
    <w:rsid w:val="001B1408"/>
    <w:rsid w:val="001B1416"/>
    <w:rsid w:val="001B1824"/>
    <w:rsid w:val="001B18B7"/>
    <w:rsid w:val="001B1989"/>
    <w:rsid w:val="001B1A72"/>
    <w:rsid w:val="001B1EB7"/>
    <w:rsid w:val="001B1EF2"/>
    <w:rsid w:val="001B299D"/>
    <w:rsid w:val="001B2D85"/>
    <w:rsid w:val="001B2E7F"/>
    <w:rsid w:val="001B2F9D"/>
    <w:rsid w:val="001B342E"/>
    <w:rsid w:val="001B38F1"/>
    <w:rsid w:val="001B3C8E"/>
    <w:rsid w:val="001B3E33"/>
    <w:rsid w:val="001B450A"/>
    <w:rsid w:val="001B48CC"/>
    <w:rsid w:val="001B4A6A"/>
    <w:rsid w:val="001B4F05"/>
    <w:rsid w:val="001B5180"/>
    <w:rsid w:val="001B519D"/>
    <w:rsid w:val="001B56F0"/>
    <w:rsid w:val="001B738F"/>
    <w:rsid w:val="001B75A5"/>
    <w:rsid w:val="001B7897"/>
    <w:rsid w:val="001B7AE5"/>
    <w:rsid w:val="001B7DB5"/>
    <w:rsid w:val="001C12DE"/>
    <w:rsid w:val="001C1CAE"/>
    <w:rsid w:val="001C286F"/>
    <w:rsid w:val="001C2ECF"/>
    <w:rsid w:val="001C3314"/>
    <w:rsid w:val="001C3412"/>
    <w:rsid w:val="001C3891"/>
    <w:rsid w:val="001C3AB7"/>
    <w:rsid w:val="001C45AC"/>
    <w:rsid w:val="001C4A47"/>
    <w:rsid w:val="001C4DC5"/>
    <w:rsid w:val="001C4F31"/>
    <w:rsid w:val="001C5778"/>
    <w:rsid w:val="001C5AE8"/>
    <w:rsid w:val="001C5B1E"/>
    <w:rsid w:val="001C5BCF"/>
    <w:rsid w:val="001C5C35"/>
    <w:rsid w:val="001C637E"/>
    <w:rsid w:val="001C669C"/>
    <w:rsid w:val="001C6C6E"/>
    <w:rsid w:val="001C701D"/>
    <w:rsid w:val="001C7063"/>
    <w:rsid w:val="001C7564"/>
    <w:rsid w:val="001C76E9"/>
    <w:rsid w:val="001C76FC"/>
    <w:rsid w:val="001D0041"/>
    <w:rsid w:val="001D03B1"/>
    <w:rsid w:val="001D0679"/>
    <w:rsid w:val="001D0C38"/>
    <w:rsid w:val="001D0CAD"/>
    <w:rsid w:val="001D1691"/>
    <w:rsid w:val="001D193A"/>
    <w:rsid w:val="001D1ACF"/>
    <w:rsid w:val="001D37A2"/>
    <w:rsid w:val="001D38B4"/>
    <w:rsid w:val="001D4314"/>
    <w:rsid w:val="001D4BFC"/>
    <w:rsid w:val="001D591D"/>
    <w:rsid w:val="001D5AC3"/>
    <w:rsid w:val="001D67B6"/>
    <w:rsid w:val="001D6B44"/>
    <w:rsid w:val="001D6C06"/>
    <w:rsid w:val="001D712B"/>
    <w:rsid w:val="001D7274"/>
    <w:rsid w:val="001D768C"/>
    <w:rsid w:val="001D776A"/>
    <w:rsid w:val="001D79DA"/>
    <w:rsid w:val="001D7D22"/>
    <w:rsid w:val="001E01C6"/>
    <w:rsid w:val="001E0372"/>
    <w:rsid w:val="001E08AE"/>
    <w:rsid w:val="001E098D"/>
    <w:rsid w:val="001E0A59"/>
    <w:rsid w:val="001E0B9E"/>
    <w:rsid w:val="001E1880"/>
    <w:rsid w:val="001E2050"/>
    <w:rsid w:val="001E20B4"/>
    <w:rsid w:val="001E254F"/>
    <w:rsid w:val="001E2D41"/>
    <w:rsid w:val="001E3201"/>
    <w:rsid w:val="001E3568"/>
    <w:rsid w:val="001E35A6"/>
    <w:rsid w:val="001E38DA"/>
    <w:rsid w:val="001E3A20"/>
    <w:rsid w:val="001E3A59"/>
    <w:rsid w:val="001E3F72"/>
    <w:rsid w:val="001E482B"/>
    <w:rsid w:val="001E4834"/>
    <w:rsid w:val="001E4BC8"/>
    <w:rsid w:val="001E4FCA"/>
    <w:rsid w:val="001E56F8"/>
    <w:rsid w:val="001E5F05"/>
    <w:rsid w:val="001E6279"/>
    <w:rsid w:val="001E65F6"/>
    <w:rsid w:val="001E6F18"/>
    <w:rsid w:val="001F0C79"/>
    <w:rsid w:val="001F1393"/>
    <w:rsid w:val="001F149E"/>
    <w:rsid w:val="001F1584"/>
    <w:rsid w:val="001F1682"/>
    <w:rsid w:val="001F1E70"/>
    <w:rsid w:val="001F2F9C"/>
    <w:rsid w:val="001F32AC"/>
    <w:rsid w:val="001F3542"/>
    <w:rsid w:val="001F3BAA"/>
    <w:rsid w:val="001F3C55"/>
    <w:rsid w:val="001F3C77"/>
    <w:rsid w:val="001F3CC2"/>
    <w:rsid w:val="001F400E"/>
    <w:rsid w:val="001F41C9"/>
    <w:rsid w:val="001F43D5"/>
    <w:rsid w:val="001F4BB3"/>
    <w:rsid w:val="001F52F4"/>
    <w:rsid w:val="001F5319"/>
    <w:rsid w:val="001F53C8"/>
    <w:rsid w:val="001F5A2E"/>
    <w:rsid w:val="001F5A55"/>
    <w:rsid w:val="001F5DD4"/>
    <w:rsid w:val="001F601E"/>
    <w:rsid w:val="001F631F"/>
    <w:rsid w:val="001F632B"/>
    <w:rsid w:val="001F639D"/>
    <w:rsid w:val="001F652B"/>
    <w:rsid w:val="001F7154"/>
    <w:rsid w:val="001F7FD2"/>
    <w:rsid w:val="002002EA"/>
    <w:rsid w:val="002004E7"/>
    <w:rsid w:val="002006CA"/>
    <w:rsid w:val="0020097A"/>
    <w:rsid w:val="00200A2F"/>
    <w:rsid w:val="00200D3A"/>
    <w:rsid w:val="00200E0F"/>
    <w:rsid w:val="002010CD"/>
    <w:rsid w:val="00201146"/>
    <w:rsid w:val="0020166B"/>
    <w:rsid w:val="0020198C"/>
    <w:rsid w:val="00201DD7"/>
    <w:rsid w:val="00202A91"/>
    <w:rsid w:val="00202F2F"/>
    <w:rsid w:val="00202FAD"/>
    <w:rsid w:val="00202FB7"/>
    <w:rsid w:val="0020324F"/>
    <w:rsid w:val="00203264"/>
    <w:rsid w:val="002040F4"/>
    <w:rsid w:val="00204DB1"/>
    <w:rsid w:val="00205287"/>
    <w:rsid w:val="0020536F"/>
    <w:rsid w:val="002059C0"/>
    <w:rsid w:val="00205DB6"/>
    <w:rsid w:val="00205F43"/>
    <w:rsid w:val="00205FC0"/>
    <w:rsid w:val="002065AB"/>
    <w:rsid w:val="00206894"/>
    <w:rsid w:val="0020695E"/>
    <w:rsid w:val="00206B86"/>
    <w:rsid w:val="00206ECA"/>
    <w:rsid w:val="002075BD"/>
    <w:rsid w:val="00207B0F"/>
    <w:rsid w:val="00210730"/>
    <w:rsid w:val="00210901"/>
    <w:rsid w:val="00210C56"/>
    <w:rsid w:val="00210DF2"/>
    <w:rsid w:val="0021149E"/>
    <w:rsid w:val="002116E3"/>
    <w:rsid w:val="00211817"/>
    <w:rsid w:val="00211920"/>
    <w:rsid w:val="002119C9"/>
    <w:rsid w:val="002119CA"/>
    <w:rsid w:val="00211F7A"/>
    <w:rsid w:val="00212B69"/>
    <w:rsid w:val="00212BFF"/>
    <w:rsid w:val="0021318D"/>
    <w:rsid w:val="0021325B"/>
    <w:rsid w:val="00213345"/>
    <w:rsid w:val="00213417"/>
    <w:rsid w:val="00213C8C"/>
    <w:rsid w:val="00214D7C"/>
    <w:rsid w:val="002153D6"/>
    <w:rsid w:val="002153E5"/>
    <w:rsid w:val="002161BA"/>
    <w:rsid w:val="002172C1"/>
    <w:rsid w:val="00217928"/>
    <w:rsid w:val="00217B1E"/>
    <w:rsid w:val="00220151"/>
    <w:rsid w:val="002205EE"/>
    <w:rsid w:val="00220933"/>
    <w:rsid w:val="002209B5"/>
    <w:rsid w:val="00220A01"/>
    <w:rsid w:val="00221BF4"/>
    <w:rsid w:val="002226A1"/>
    <w:rsid w:val="00222AF8"/>
    <w:rsid w:val="00222BB1"/>
    <w:rsid w:val="00223AA0"/>
    <w:rsid w:val="00223F64"/>
    <w:rsid w:val="00224C98"/>
    <w:rsid w:val="00224CA6"/>
    <w:rsid w:val="00224D25"/>
    <w:rsid w:val="00224EFC"/>
    <w:rsid w:val="00225587"/>
    <w:rsid w:val="002260F5"/>
    <w:rsid w:val="0022612D"/>
    <w:rsid w:val="002261FE"/>
    <w:rsid w:val="0022632C"/>
    <w:rsid w:val="00226471"/>
    <w:rsid w:val="00226BA5"/>
    <w:rsid w:val="00226D95"/>
    <w:rsid w:val="00227044"/>
    <w:rsid w:val="00227081"/>
    <w:rsid w:val="002273F6"/>
    <w:rsid w:val="002273F8"/>
    <w:rsid w:val="0022748C"/>
    <w:rsid w:val="0022798C"/>
    <w:rsid w:val="00227BB7"/>
    <w:rsid w:val="00227C9D"/>
    <w:rsid w:val="00227EAC"/>
    <w:rsid w:val="002304FC"/>
    <w:rsid w:val="00230872"/>
    <w:rsid w:val="00231298"/>
    <w:rsid w:val="002318DE"/>
    <w:rsid w:val="00231A24"/>
    <w:rsid w:val="00231FCC"/>
    <w:rsid w:val="00232A6F"/>
    <w:rsid w:val="00232D0D"/>
    <w:rsid w:val="00232D2B"/>
    <w:rsid w:val="00232EEC"/>
    <w:rsid w:val="002335C6"/>
    <w:rsid w:val="00234002"/>
    <w:rsid w:val="00234457"/>
    <w:rsid w:val="00234555"/>
    <w:rsid w:val="00234943"/>
    <w:rsid w:val="00234D2C"/>
    <w:rsid w:val="0023544D"/>
    <w:rsid w:val="00235478"/>
    <w:rsid w:val="00235B13"/>
    <w:rsid w:val="00236876"/>
    <w:rsid w:val="00236AB2"/>
    <w:rsid w:val="00236CB9"/>
    <w:rsid w:val="00237195"/>
    <w:rsid w:val="002372E4"/>
    <w:rsid w:val="00237613"/>
    <w:rsid w:val="00240332"/>
    <w:rsid w:val="00240774"/>
    <w:rsid w:val="00240B95"/>
    <w:rsid w:val="00240BEA"/>
    <w:rsid w:val="00240D53"/>
    <w:rsid w:val="00241ED1"/>
    <w:rsid w:val="002421C3"/>
    <w:rsid w:val="00242DB1"/>
    <w:rsid w:val="0024304A"/>
    <w:rsid w:val="002437C8"/>
    <w:rsid w:val="00243AF3"/>
    <w:rsid w:val="00243CB9"/>
    <w:rsid w:val="00243E7C"/>
    <w:rsid w:val="00243EBE"/>
    <w:rsid w:val="00244530"/>
    <w:rsid w:val="002447CD"/>
    <w:rsid w:val="002453AF"/>
    <w:rsid w:val="00245B68"/>
    <w:rsid w:val="00245B9B"/>
    <w:rsid w:val="00245C34"/>
    <w:rsid w:val="00245E4C"/>
    <w:rsid w:val="00246C21"/>
    <w:rsid w:val="00246E67"/>
    <w:rsid w:val="00246FBD"/>
    <w:rsid w:val="00247A8B"/>
    <w:rsid w:val="002507B1"/>
    <w:rsid w:val="002507D4"/>
    <w:rsid w:val="002508D7"/>
    <w:rsid w:val="00250B62"/>
    <w:rsid w:val="00250C25"/>
    <w:rsid w:val="002517BE"/>
    <w:rsid w:val="002519D1"/>
    <w:rsid w:val="00252087"/>
    <w:rsid w:val="002524A8"/>
    <w:rsid w:val="002525E1"/>
    <w:rsid w:val="002526D9"/>
    <w:rsid w:val="002528DC"/>
    <w:rsid w:val="00252DF2"/>
    <w:rsid w:val="00253A71"/>
    <w:rsid w:val="00253B36"/>
    <w:rsid w:val="00253D3C"/>
    <w:rsid w:val="00253EED"/>
    <w:rsid w:val="00254070"/>
    <w:rsid w:val="0025432C"/>
    <w:rsid w:val="002545DD"/>
    <w:rsid w:val="00254AEF"/>
    <w:rsid w:val="00255DB4"/>
    <w:rsid w:val="00255E5A"/>
    <w:rsid w:val="0025717A"/>
    <w:rsid w:val="00257C56"/>
    <w:rsid w:val="00257CE7"/>
    <w:rsid w:val="002600D6"/>
    <w:rsid w:val="002608F3"/>
    <w:rsid w:val="00260ABE"/>
    <w:rsid w:val="0026111F"/>
    <w:rsid w:val="00261542"/>
    <w:rsid w:val="002618A4"/>
    <w:rsid w:val="00261B54"/>
    <w:rsid w:val="00262072"/>
    <w:rsid w:val="0026263D"/>
    <w:rsid w:val="002628D4"/>
    <w:rsid w:val="00262AF5"/>
    <w:rsid w:val="00262D9F"/>
    <w:rsid w:val="00263B7E"/>
    <w:rsid w:val="002643F3"/>
    <w:rsid w:val="00264ACC"/>
    <w:rsid w:val="002655DD"/>
    <w:rsid w:val="002657EC"/>
    <w:rsid w:val="00265A86"/>
    <w:rsid w:val="002660A3"/>
    <w:rsid w:val="00266B7B"/>
    <w:rsid w:val="00267155"/>
    <w:rsid w:val="002671B2"/>
    <w:rsid w:val="00267715"/>
    <w:rsid w:val="00270010"/>
    <w:rsid w:val="00270A9E"/>
    <w:rsid w:val="00271242"/>
    <w:rsid w:val="0027160A"/>
    <w:rsid w:val="002716DD"/>
    <w:rsid w:val="00271927"/>
    <w:rsid w:val="002721E7"/>
    <w:rsid w:val="00272897"/>
    <w:rsid w:val="00272B11"/>
    <w:rsid w:val="00272C72"/>
    <w:rsid w:val="00272E36"/>
    <w:rsid w:val="002738D4"/>
    <w:rsid w:val="00274DD0"/>
    <w:rsid w:val="0027577E"/>
    <w:rsid w:val="002762C6"/>
    <w:rsid w:val="002766BB"/>
    <w:rsid w:val="0027734A"/>
    <w:rsid w:val="002774DD"/>
    <w:rsid w:val="00277BC6"/>
    <w:rsid w:val="00280130"/>
    <w:rsid w:val="00280339"/>
    <w:rsid w:val="0028046C"/>
    <w:rsid w:val="00280D10"/>
    <w:rsid w:val="00280EC5"/>
    <w:rsid w:val="002810BA"/>
    <w:rsid w:val="00281922"/>
    <w:rsid w:val="00281DE5"/>
    <w:rsid w:val="00282745"/>
    <w:rsid w:val="00282B74"/>
    <w:rsid w:val="00282B9C"/>
    <w:rsid w:val="0028309D"/>
    <w:rsid w:val="002832B9"/>
    <w:rsid w:val="00283733"/>
    <w:rsid w:val="002837A7"/>
    <w:rsid w:val="002841BA"/>
    <w:rsid w:val="00284314"/>
    <w:rsid w:val="00284659"/>
    <w:rsid w:val="00284A02"/>
    <w:rsid w:val="00284DD6"/>
    <w:rsid w:val="00284F20"/>
    <w:rsid w:val="00285563"/>
    <w:rsid w:val="002855BA"/>
    <w:rsid w:val="00285907"/>
    <w:rsid w:val="00285F1F"/>
    <w:rsid w:val="00286098"/>
    <w:rsid w:val="0028638B"/>
    <w:rsid w:val="002869BE"/>
    <w:rsid w:val="00286B3B"/>
    <w:rsid w:val="00286B55"/>
    <w:rsid w:val="00286C43"/>
    <w:rsid w:val="00286D3E"/>
    <w:rsid w:val="0028764E"/>
    <w:rsid w:val="00287710"/>
    <w:rsid w:val="00287873"/>
    <w:rsid w:val="00287B26"/>
    <w:rsid w:val="00290F57"/>
    <w:rsid w:val="002915F6"/>
    <w:rsid w:val="00292194"/>
    <w:rsid w:val="002921C4"/>
    <w:rsid w:val="00292737"/>
    <w:rsid w:val="002928DF"/>
    <w:rsid w:val="00293171"/>
    <w:rsid w:val="00293845"/>
    <w:rsid w:val="002939BE"/>
    <w:rsid w:val="00293B00"/>
    <w:rsid w:val="00293C89"/>
    <w:rsid w:val="00294138"/>
    <w:rsid w:val="0029475B"/>
    <w:rsid w:val="00294D44"/>
    <w:rsid w:val="002954EA"/>
    <w:rsid w:val="00295F23"/>
    <w:rsid w:val="00296531"/>
    <w:rsid w:val="002967D0"/>
    <w:rsid w:val="002969DB"/>
    <w:rsid w:val="00296CAF"/>
    <w:rsid w:val="00297294"/>
    <w:rsid w:val="00297365"/>
    <w:rsid w:val="00297671"/>
    <w:rsid w:val="002A0199"/>
    <w:rsid w:val="002A1019"/>
    <w:rsid w:val="002A1407"/>
    <w:rsid w:val="002A26C5"/>
    <w:rsid w:val="002A2CC1"/>
    <w:rsid w:val="002A2E7F"/>
    <w:rsid w:val="002A3002"/>
    <w:rsid w:val="002A30A8"/>
    <w:rsid w:val="002A3328"/>
    <w:rsid w:val="002A3967"/>
    <w:rsid w:val="002A4097"/>
    <w:rsid w:val="002A47B4"/>
    <w:rsid w:val="002A5290"/>
    <w:rsid w:val="002A53CE"/>
    <w:rsid w:val="002A55D8"/>
    <w:rsid w:val="002A5C53"/>
    <w:rsid w:val="002A5CE2"/>
    <w:rsid w:val="002A5FA0"/>
    <w:rsid w:val="002A641F"/>
    <w:rsid w:val="002A6A52"/>
    <w:rsid w:val="002A6E59"/>
    <w:rsid w:val="002A70EB"/>
    <w:rsid w:val="002A7814"/>
    <w:rsid w:val="002A78D7"/>
    <w:rsid w:val="002A79ED"/>
    <w:rsid w:val="002B0C83"/>
    <w:rsid w:val="002B0FB1"/>
    <w:rsid w:val="002B11AB"/>
    <w:rsid w:val="002B14AE"/>
    <w:rsid w:val="002B1636"/>
    <w:rsid w:val="002B1C75"/>
    <w:rsid w:val="002B1D54"/>
    <w:rsid w:val="002B2426"/>
    <w:rsid w:val="002B2837"/>
    <w:rsid w:val="002B2F80"/>
    <w:rsid w:val="002B342F"/>
    <w:rsid w:val="002B3653"/>
    <w:rsid w:val="002B38A8"/>
    <w:rsid w:val="002B3EB0"/>
    <w:rsid w:val="002B483E"/>
    <w:rsid w:val="002B4F97"/>
    <w:rsid w:val="002B5493"/>
    <w:rsid w:val="002B6976"/>
    <w:rsid w:val="002B6A30"/>
    <w:rsid w:val="002B6A3B"/>
    <w:rsid w:val="002B6D83"/>
    <w:rsid w:val="002B7A16"/>
    <w:rsid w:val="002B7BD6"/>
    <w:rsid w:val="002B7CE1"/>
    <w:rsid w:val="002C01EA"/>
    <w:rsid w:val="002C07BD"/>
    <w:rsid w:val="002C084C"/>
    <w:rsid w:val="002C0B04"/>
    <w:rsid w:val="002C0E6E"/>
    <w:rsid w:val="002C1558"/>
    <w:rsid w:val="002C223E"/>
    <w:rsid w:val="002C2274"/>
    <w:rsid w:val="002C28C6"/>
    <w:rsid w:val="002C2A81"/>
    <w:rsid w:val="002C2CD9"/>
    <w:rsid w:val="002C30C1"/>
    <w:rsid w:val="002C34CA"/>
    <w:rsid w:val="002C3664"/>
    <w:rsid w:val="002C3A03"/>
    <w:rsid w:val="002C3C93"/>
    <w:rsid w:val="002C3F41"/>
    <w:rsid w:val="002C423C"/>
    <w:rsid w:val="002C490D"/>
    <w:rsid w:val="002C5E49"/>
    <w:rsid w:val="002C5FB1"/>
    <w:rsid w:val="002C694E"/>
    <w:rsid w:val="002C6A21"/>
    <w:rsid w:val="002C6AFC"/>
    <w:rsid w:val="002C6B2A"/>
    <w:rsid w:val="002C70F2"/>
    <w:rsid w:val="002C7182"/>
    <w:rsid w:val="002C7B68"/>
    <w:rsid w:val="002C7DF4"/>
    <w:rsid w:val="002C7FE2"/>
    <w:rsid w:val="002D00D5"/>
    <w:rsid w:val="002D0312"/>
    <w:rsid w:val="002D171E"/>
    <w:rsid w:val="002D1AFC"/>
    <w:rsid w:val="002D2643"/>
    <w:rsid w:val="002D3459"/>
    <w:rsid w:val="002D3687"/>
    <w:rsid w:val="002D423F"/>
    <w:rsid w:val="002D4273"/>
    <w:rsid w:val="002D6134"/>
    <w:rsid w:val="002D61B9"/>
    <w:rsid w:val="002D62E6"/>
    <w:rsid w:val="002D68D5"/>
    <w:rsid w:val="002D69BB"/>
    <w:rsid w:val="002D6C10"/>
    <w:rsid w:val="002D70F6"/>
    <w:rsid w:val="002D751A"/>
    <w:rsid w:val="002D7E06"/>
    <w:rsid w:val="002E024D"/>
    <w:rsid w:val="002E0514"/>
    <w:rsid w:val="002E08CA"/>
    <w:rsid w:val="002E0B5F"/>
    <w:rsid w:val="002E0C2B"/>
    <w:rsid w:val="002E0FBD"/>
    <w:rsid w:val="002E11A3"/>
    <w:rsid w:val="002E13F6"/>
    <w:rsid w:val="002E16AF"/>
    <w:rsid w:val="002E1703"/>
    <w:rsid w:val="002E210C"/>
    <w:rsid w:val="002E249B"/>
    <w:rsid w:val="002E2DD9"/>
    <w:rsid w:val="002E314C"/>
    <w:rsid w:val="002E3616"/>
    <w:rsid w:val="002E365D"/>
    <w:rsid w:val="002E3758"/>
    <w:rsid w:val="002E3D23"/>
    <w:rsid w:val="002E3D93"/>
    <w:rsid w:val="002E48BE"/>
    <w:rsid w:val="002E49C8"/>
    <w:rsid w:val="002E4A12"/>
    <w:rsid w:val="002E4B19"/>
    <w:rsid w:val="002E50F5"/>
    <w:rsid w:val="002E55A3"/>
    <w:rsid w:val="002E5809"/>
    <w:rsid w:val="002E5825"/>
    <w:rsid w:val="002E62E0"/>
    <w:rsid w:val="002E683B"/>
    <w:rsid w:val="002E6B1E"/>
    <w:rsid w:val="002E72FD"/>
    <w:rsid w:val="002E73F9"/>
    <w:rsid w:val="002E74BA"/>
    <w:rsid w:val="002E75D9"/>
    <w:rsid w:val="002E7BCB"/>
    <w:rsid w:val="002E7BF4"/>
    <w:rsid w:val="002E7D90"/>
    <w:rsid w:val="002F02AB"/>
    <w:rsid w:val="002F0964"/>
    <w:rsid w:val="002F0F4F"/>
    <w:rsid w:val="002F1052"/>
    <w:rsid w:val="002F12EF"/>
    <w:rsid w:val="002F14E7"/>
    <w:rsid w:val="002F1CE9"/>
    <w:rsid w:val="002F1FD2"/>
    <w:rsid w:val="002F2244"/>
    <w:rsid w:val="002F2B1A"/>
    <w:rsid w:val="002F2B48"/>
    <w:rsid w:val="002F2B86"/>
    <w:rsid w:val="002F2C44"/>
    <w:rsid w:val="002F384B"/>
    <w:rsid w:val="002F3C6A"/>
    <w:rsid w:val="002F3F20"/>
    <w:rsid w:val="002F4370"/>
    <w:rsid w:val="002F442C"/>
    <w:rsid w:val="002F4E6C"/>
    <w:rsid w:val="002F60C4"/>
    <w:rsid w:val="002F6719"/>
    <w:rsid w:val="002F6ABB"/>
    <w:rsid w:val="002F783E"/>
    <w:rsid w:val="002F7CE7"/>
    <w:rsid w:val="00300167"/>
    <w:rsid w:val="003004C5"/>
    <w:rsid w:val="0030054E"/>
    <w:rsid w:val="00300AB3"/>
    <w:rsid w:val="00300B63"/>
    <w:rsid w:val="00300F3D"/>
    <w:rsid w:val="003015CF"/>
    <w:rsid w:val="0030186D"/>
    <w:rsid w:val="00301979"/>
    <w:rsid w:val="00301F4D"/>
    <w:rsid w:val="00301F54"/>
    <w:rsid w:val="0030246D"/>
    <w:rsid w:val="00302E0B"/>
    <w:rsid w:val="003032D4"/>
    <w:rsid w:val="00304BF7"/>
    <w:rsid w:val="00304FD2"/>
    <w:rsid w:val="003050E2"/>
    <w:rsid w:val="003052E8"/>
    <w:rsid w:val="00306465"/>
    <w:rsid w:val="003069D1"/>
    <w:rsid w:val="00306B9C"/>
    <w:rsid w:val="00306DDD"/>
    <w:rsid w:val="00307D79"/>
    <w:rsid w:val="00310318"/>
    <w:rsid w:val="003108F2"/>
    <w:rsid w:val="00310909"/>
    <w:rsid w:val="00310FA4"/>
    <w:rsid w:val="003110CC"/>
    <w:rsid w:val="00311BCE"/>
    <w:rsid w:val="00312272"/>
    <w:rsid w:val="00312E6F"/>
    <w:rsid w:val="00312E89"/>
    <w:rsid w:val="00313461"/>
    <w:rsid w:val="00313571"/>
    <w:rsid w:val="00313651"/>
    <w:rsid w:val="00313828"/>
    <w:rsid w:val="0031409D"/>
    <w:rsid w:val="0031410A"/>
    <w:rsid w:val="00314805"/>
    <w:rsid w:val="00315979"/>
    <w:rsid w:val="00316184"/>
    <w:rsid w:val="003165D4"/>
    <w:rsid w:val="00316BB4"/>
    <w:rsid w:val="00316F3F"/>
    <w:rsid w:val="0031702E"/>
    <w:rsid w:val="00317424"/>
    <w:rsid w:val="0031756D"/>
    <w:rsid w:val="003176AB"/>
    <w:rsid w:val="00317A62"/>
    <w:rsid w:val="00317CCD"/>
    <w:rsid w:val="003200B4"/>
    <w:rsid w:val="003200C8"/>
    <w:rsid w:val="003205B1"/>
    <w:rsid w:val="00320A01"/>
    <w:rsid w:val="00320D25"/>
    <w:rsid w:val="00321110"/>
    <w:rsid w:val="00322034"/>
    <w:rsid w:val="00322D2E"/>
    <w:rsid w:val="00322E65"/>
    <w:rsid w:val="00323027"/>
    <w:rsid w:val="003231E9"/>
    <w:rsid w:val="00323221"/>
    <w:rsid w:val="003232A9"/>
    <w:rsid w:val="003235CF"/>
    <w:rsid w:val="00323BC7"/>
    <w:rsid w:val="0032454A"/>
    <w:rsid w:val="00324ADB"/>
    <w:rsid w:val="003252CD"/>
    <w:rsid w:val="00325935"/>
    <w:rsid w:val="003259FA"/>
    <w:rsid w:val="00325D44"/>
    <w:rsid w:val="00326277"/>
    <w:rsid w:val="003264C1"/>
    <w:rsid w:val="00326873"/>
    <w:rsid w:val="0032696D"/>
    <w:rsid w:val="00326974"/>
    <w:rsid w:val="00326E53"/>
    <w:rsid w:val="00327018"/>
    <w:rsid w:val="0032708A"/>
    <w:rsid w:val="0032788F"/>
    <w:rsid w:val="00327AA8"/>
    <w:rsid w:val="00327FE0"/>
    <w:rsid w:val="00331229"/>
    <w:rsid w:val="003315D1"/>
    <w:rsid w:val="003316DA"/>
    <w:rsid w:val="003317BA"/>
    <w:rsid w:val="00331B43"/>
    <w:rsid w:val="00332F10"/>
    <w:rsid w:val="00333301"/>
    <w:rsid w:val="00333677"/>
    <w:rsid w:val="00333CB2"/>
    <w:rsid w:val="00333D66"/>
    <w:rsid w:val="00335576"/>
    <w:rsid w:val="0033578E"/>
    <w:rsid w:val="00335B64"/>
    <w:rsid w:val="00337725"/>
    <w:rsid w:val="00337C7D"/>
    <w:rsid w:val="00337D8F"/>
    <w:rsid w:val="003402EB"/>
    <w:rsid w:val="0034063E"/>
    <w:rsid w:val="003408DB"/>
    <w:rsid w:val="00340BF5"/>
    <w:rsid w:val="00341177"/>
    <w:rsid w:val="00341476"/>
    <w:rsid w:val="00341A70"/>
    <w:rsid w:val="00341D11"/>
    <w:rsid w:val="0034253F"/>
    <w:rsid w:val="00342C9C"/>
    <w:rsid w:val="00342DEC"/>
    <w:rsid w:val="0034301E"/>
    <w:rsid w:val="003439A7"/>
    <w:rsid w:val="00343BE1"/>
    <w:rsid w:val="00344294"/>
    <w:rsid w:val="0034440E"/>
    <w:rsid w:val="003444AC"/>
    <w:rsid w:val="003449B1"/>
    <w:rsid w:val="00344CE8"/>
    <w:rsid w:val="00344F2B"/>
    <w:rsid w:val="0034573F"/>
    <w:rsid w:val="00345765"/>
    <w:rsid w:val="00345A23"/>
    <w:rsid w:val="00345A53"/>
    <w:rsid w:val="00346261"/>
    <w:rsid w:val="00346380"/>
    <w:rsid w:val="003468E5"/>
    <w:rsid w:val="00346D27"/>
    <w:rsid w:val="003501E8"/>
    <w:rsid w:val="00350397"/>
    <w:rsid w:val="003503D9"/>
    <w:rsid w:val="00350835"/>
    <w:rsid w:val="0035098C"/>
    <w:rsid w:val="00351219"/>
    <w:rsid w:val="0035121E"/>
    <w:rsid w:val="00351B1F"/>
    <w:rsid w:val="00352175"/>
    <w:rsid w:val="00352F3D"/>
    <w:rsid w:val="003530FA"/>
    <w:rsid w:val="00353925"/>
    <w:rsid w:val="003539BF"/>
    <w:rsid w:val="00354697"/>
    <w:rsid w:val="00354DA5"/>
    <w:rsid w:val="003562D6"/>
    <w:rsid w:val="003571A6"/>
    <w:rsid w:val="00357464"/>
    <w:rsid w:val="003578A8"/>
    <w:rsid w:val="00357BB1"/>
    <w:rsid w:val="00357BDE"/>
    <w:rsid w:val="00357CCD"/>
    <w:rsid w:val="00357E24"/>
    <w:rsid w:val="003604E9"/>
    <w:rsid w:val="00360A45"/>
    <w:rsid w:val="00360A61"/>
    <w:rsid w:val="00360D55"/>
    <w:rsid w:val="003614EC"/>
    <w:rsid w:val="003615EB"/>
    <w:rsid w:val="00361895"/>
    <w:rsid w:val="00362A0B"/>
    <w:rsid w:val="00362ED2"/>
    <w:rsid w:val="00363429"/>
    <w:rsid w:val="00363662"/>
    <w:rsid w:val="003637B3"/>
    <w:rsid w:val="00363ECC"/>
    <w:rsid w:val="00364BCD"/>
    <w:rsid w:val="00365171"/>
    <w:rsid w:val="0036549B"/>
    <w:rsid w:val="003657AF"/>
    <w:rsid w:val="0036590B"/>
    <w:rsid w:val="00365A77"/>
    <w:rsid w:val="00365B24"/>
    <w:rsid w:val="00365F32"/>
    <w:rsid w:val="00366347"/>
    <w:rsid w:val="0036670A"/>
    <w:rsid w:val="00366CEF"/>
    <w:rsid w:val="00366DDD"/>
    <w:rsid w:val="003672BD"/>
    <w:rsid w:val="00367941"/>
    <w:rsid w:val="00367D86"/>
    <w:rsid w:val="00367EEF"/>
    <w:rsid w:val="00370A14"/>
    <w:rsid w:val="00370F2A"/>
    <w:rsid w:val="00370F9A"/>
    <w:rsid w:val="0037151C"/>
    <w:rsid w:val="003715F9"/>
    <w:rsid w:val="00371A28"/>
    <w:rsid w:val="00372010"/>
    <w:rsid w:val="0037248B"/>
    <w:rsid w:val="00372F59"/>
    <w:rsid w:val="00373A0D"/>
    <w:rsid w:val="00373A9E"/>
    <w:rsid w:val="00373C07"/>
    <w:rsid w:val="0037453E"/>
    <w:rsid w:val="00374943"/>
    <w:rsid w:val="00374B39"/>
    <w:rsid w:val="00374D50"/>
    <w:rsid w:val="00374D88"/>
    <w:rsid w:val="003754B5"/>
    <w:rsid w:val="00375544"/>
    <w:rsid w:val="003772E4"/>
    <w:rsid w:val="00377B40"/>
    <w:rsid w:val="00377DC8"/>
    <w:rsid w:val="00377FBD"/>
    <w:rsid w:val="0038059F"/>
    <w:rsid w:val="00381332"/>
    <w:rsid w:val="00381371"/>
    <w:rsid w:val="00382A06"/>
    <w:rsid w:val="0038341E"/>
    <w:rsid w:val="003835FF"/>
    <w:rsid w:val="00383B8F"/>
    <w:rsid w:val="00383BF5"/>
    <w:rsid w:val="00383D5C"/>
    <w:rsid w:val="00383D8E"/>
    <w:rsid w:val="0038437E"/>
    <w:rsid w:val="00384621"/>
    <w:rsid w:val="00384DF3"/>
    <w:rsid w:val="00384E95"/>
    <w:rsid w:val="00385526"/>
    <w:rsid w:val="00385878"/>
    <w:rsid w:val="00385E35"/>
    <w:rsid w:val="00385F7A"/>
    <w:rsid w:val="003861E6"/>
    <w:rsid w:val="003866D6"/>
    <w:rsid w:val="00386DAB"/>
    <w:rsid w:val="0038708D"/>
    <w:rsid w:val="003874FF"/>
    <w:rsid w:val="003876CC"/>
    <w:rsid w:val="0039084E"/>
    <w:rsid w:val="00390913"/>
    <w:rsid w:val="00390D92"/>
    <w:rsid w:val="003911C0"/>
    <w:rsid w:val="0039151A"/>
    <w:rsid w:val="00392B1F"/>
    <w:rsid w:val="00392C1E"/>
    <w:rsid w:val="00392CF5"/>
    <w:rsid w:val="00393004"/>
    <w:rsid w:val="00393806"/>
    <w:rsid w:val="00394215"/>
    <w:rsid w:val="00394DA9"/>
    <w:rsid w:val="00394E3E"/>
    <w:rsid w:val="00395198"/>
    <w:rsid w:val="0039532B"/>
    <w:rsid w:val="00395FC2"/>
    <w:rsid w:val="003972A1"/>
    <w:rsid w:val="003979A7"/>
    <w:rsid w:val="003A004A"/>
    <w:rsid w:val="003A05EC"/>
    <w:rsid w:val="003A075B"/>
    <w:rsid w:val="003A081A"/>
    <w:rsid w:val="003A08BF"/>
    <w:rsid w:val="003A1044"/>
    <w:rsid w:val="003A1382"/>
    <w:rsid w:val="003A1D17"/>
    <w:rsid w:val="003A249A"/>
    <w:rsid w:val="003A258E"/>
    <w:rsid w:val="003A2A3B"/>
    <w:rsid w:val="003A2A4B"/>
    <w:rsid w:val="003A2DF5"/>
    <w:rsid w:val="003A2EB1"/>
    <w:rsid w:val="003A2EF4"/>
    <w:rsid w:val="003A390F"/>
    <w:rsid w:val="003A42E9"/>
    <w:rsid w:val="003A4B6C"/>
    <w:rsid w:val="003A4CE9"/>
    <w:rsid w:val="003A52FA"/>
    <w:rsid w:val="003A5E0C"/>
    <w:rsid w:val="003A6081"/>
    <w:rsid w:val="003A6187"/>
    <w:rsid w:val="003A61A7"/>
    <w:rsid w:val="003A6F77"/>
    <w:rsid w:val="003A74CE"/>
    <w:rsid w:val="003A7855"/>
    <w:rsid w:val="003A7CF4"/>
    <w:rsid w:val="003A7E79"/>
    <w:rsid w:val="003B0A72"/>
    <w:rsid w:val="003B0D5F"/>
    <w:rsid w:val="003B0D75"/>
    <w:rsid w:val="003B0FD1"/>
    <w:rsid w:val="003B1931"/>
    <w:rsid w:val="003B1B35"/>
    <w:rsid w:val="003B1C76"/>
    <w:rsid w:val="003B238A"/>
    <w:rsid w:val="003B2692"/>
    <w:rsid w:val="003B26DF"/>
    <w:rsid w:val="003B2C4C"/>
    <w:rsid w:val="003B368B"/>
    <w:rsid w:val="003B4264"/>
    <w:rsid w:val="003B426B"/>
    <w:rsid w:val="003B440B"/>
    <w:rsid w:val="003B4667"/>
    <w:rsid w:val="003B47D1"/>
    <w:rsid w:val="003B4822"/>
    <w:rsid w:val="003B48BD"/>
    <w:rsid w:val="003B4F17"/>
    <w:rsid w:val="003B5066"/>
    <w:rsid w:val="003B5098"/>
    <w:rsid w:val="003B521F"/>
    <w:rsid w:val="003B5C8B"/>
    <w:rsid w:val="003B5CD7"/>
    <w:rsid w:val="003B64C7"/>
    <w:rsid w:val="003B6B3B"/>
    <w:rsid w:val="003B6BCB"/>
    <w:rsid w:val="003B7152"/>
    <w:rsid w:val="003B72FB"/>
    <w:rsid w:val="003B792D"/>
    <w:rsid w:val="003B7D81"/>
    <w:rsid w:val="003C064C"/>
    <w:rsid w:val="003C13E3"/>
    <w:rsid w:val="003C1802"/>
    <w:rsid w:val="003C1909"/>
    <w:rsid w:val="003C1E4F"/>
    <w:rsid w:val="003C267D"/>
    <w:rsid w:val="003C2705"/>
    <w:rsid w:val="003C2935"/>
    <w:rsid w:val="003C2CD7"/>
    <w:rsid w:val="003C351D"/>
    <w:rsid w:val="003C35AD"/>
    <w:rsid w:val="003C363E"/>
    <w:rsid w:val="003C371F"/>
    <w:rsid w:val="003C3CE6"/>
    <w:rsid w:val="003C3D33"/>
    <w:rsid w:val="003C3F54"/>
    <w:rsid w:val="003C4198"/>
    <w:rsid w:val="003C48C7"/>
    <w:rsid w:val="003C49FF"/>
    <w:rsid w:val="003C519D"/>
    <w:rsid w:val="003C568E"/>
    <w:rsid w:val="003C5BCC"/>
    <w:rsid w:val="003C60D5"/>
    <w:rsid w:val="003C6137"/>
    <w:rsid w:val="003C61EB"/>
    <w:rsid w:val="003C6263"/>
    <w:rsid w:val="003C6431"/>
    <w:rsid w:val="003C6846"/>
    <w:rsid w:val="003C6EC2"/>
    <w:rsid w:val="003C7640"/>
    <w:rsid w:val="003D010C"/>
    <w:rsid w:val="003D0F22"/>
    <w:rsid w:val="003D0F4A"/>
    <w:rsid w:val="003D12A6"/>
    <w:rsid w:val="003D139B"/>
    <w:rsid w:val="003D14D2"/>
    <w:rsid w:val="003D18BE"/>
    <w:rsid w:val="003D19DE"/>
    <w:rsid w:val="003D26C1"/>
    <w:rsid w:val="003D272E"/>
    <w:rsid w:val="003D353A"/>
    <w:rsid w:val="003D3D37"/>
    <w:rsid w:val="003D3E44"/>
    <w:rsid w:val="003D3F57"/>
    <w:rsid w:val="003D4299"/>
    <w:rsid w:val="003D4949"/>
    <w:rsid w:val="003D562E"/>
    <w:rsid w:val="003D57E4"/>
    <w:rsid w:val="003D599C"/>
    <w:rsid w:val="003D5B5E"/>
    <w:rsid w:val="003D6303"/>
    <w:rsid w:val="003D694B"/>
    <w:rsid w:val="003D6BB5"/>
    <w:rsid w:val="003D6BDE"/>
    <w:rsid w:val="003D6C00"/>
    <w:rsid w:val="003D70D5"/>
    <w:rsid w:val="003D7896"/>
    <w:rsid w:val="003D7CDC"/>
    <w:rsid w:val="003D7EB0"/>
    <w:rsid w:val="003D7F50"/>
    <w:rsid w:val="003E0043"/>
    <w:rsid w:val="003E005D"/>
    <w:rsid w:val="003E0207"/>
    <w:rsid w:val="003E04C3"/>
    <w:rsid w:val="003E1000"/>
    <w:rsid w:val="003E1A85"/>
    <w:rsid w:val="003E1EF1"/>
    <w:rsid w:val="003E218C"/>
    <w:rsid w:val="003E255D"/>
    <w:rsid w:val="003E2831"/>
    <w:rsid w:val="003E2AF1"/>
    <w:rsid w:val="003E2DBB"/>
    <w:rsid w:val="003E3659"/>
    <w:rsid w:val="003E370B"/>
    <w:rsid w:val="003E3750"/>
    <w:rsid w:val="003E3783"/>
    <w:rsid w:val="003E4200"/>
    <w:rsid w:val="003E45E8"/>
    <w:rsid w:val="003E4E80"/>
    <w:rsid w:val="003E50AE"/>
    <w:rsid w:val="003E569D"/>
    <w:rsid w:val="003E59BD"/>
    <w:rsid w:val="003E6171"/>
    <w:rsid w:val="003E68AA"/>
    <w:rsid w:val="003E697D"/>
    <w:rsid w:val="003E7333"/>
    <w:rsid w:val="003E76B6"/>
    <w:rsid w:val="003E7861"/>
    <w:rsid w:val="003E795F"/>
    <w:rsid w:val="003F02A6"/>
    <w:rsid w:val="003F02E1"/>
    <w:rsid w:val="003F040E"/>
    <w:rsid w:val="003F04AE"/>
    <w:rsid w:val="003F1586"/>
    <w:rsid w:val="003F17E4"/>
    <w:rsid w:val="003F18DC"/>
    <w:rsid w:val="003F1B6F"/>
    <w:rsid w:val="003F1F1F"/>
    <w:rsid w:val="003F22B5"/>
    <w:rsid w:val="003F244D"/>
    <w:rsid w:val="003F2E76"/>
    <w:rsid w:val="003F3908"/>
    <w:rsid w:val="003F3D51"/>
    <w:rsid w:val="003F3F68"/>
    <w:rsid w:val="003F40AB"/>
    <w:rsid w:val="003F40EA"/>
    <w:rsid w:val="003F4113"/>
    <w:rsid w:val="003F4567"/>
    <w:rsid w:val="003F469B"/>
    <w:rsid w:val="003F4E1C"/>
    <w:rsid w:val="003F5013"/>
    <w:rsid w:val="003F53C1"/>
    <w:rsid w:val="003F54B2"/>
    <w:rsid w:val="003F5516"/>
    <w:rsid w:val="003F5599"/>
    <w:rsid w:val="003F5970"/>
    <w:rsid w:val="003F5AAB"/>
    <w:rsid w:val="003F5B98"/>
    <w:rsid w:val="003F5C2C"/>
    <w:rsid w:val="003F5D5B"/>
    <w:rsid w:val="003F6954"/>
    <w:rsid w:val="003F6DF4"/>
    <w:rsid w:val="003F729B"/>
    <w:rsid w:val="003F75E9"/>
    <w:rsid w:val="00400108"/>
    <w:rsid w:val="0040060C"/>
    <w:rsid w:val="00400651"/>
    <w:rsid w:val="004007BA"/>
    <w:rsid w:val="00400EB0"/>
    <w:rsid w:val="004011E6"/>
    <w:rsid w:val="0040150E"/>
    <w:rsid w:val="0040152E"/>
    <w:rsid w:val="00401B62"/>
    <w:rsid w:val="004020DC"/>
    <w:rsid w:val="0040220F"/>
    <w:rsid w:val="004025EC"/>
    <w:rsid w:val="00402799"/>
    <w:rsid w:val="00402B47"/>
    <w:rsid w:val="00403636"/>
    <w:rsid w:val="00403D8F"/>
    <w:rsid w:val="004046F3"/>
    <w:rsid w:val="00404A7F"/>
    <w:rsid w:val="00404EC7"/>
    <w:rsid w:val="00405E39"/>
    <w:rsid w:val="00406211"/>
    <w:rsid w:val="004063BA"/>
    <w:rsid w:val="004066A8"/>
    <w:rsid w:val="00406720"/>
    <w:rsid w:val="0040674A"/>
    <w:rsid w:val="00406B79"/>
    <w:rsid w:val="00406C86"/>
    <w:rsid w:val="0040725F"/>
    <w:rsid w:val="0040744B"/>
    <w:rsid w:val="00407725"/>
    <w:rsid w:val="004077D8"/>
    <w:rsid w:val="00407FF6"/>
    <w:rsid w:val="00410A7F"/>
    <w:rsid w:val="00410E67"/>
    <w:rsid w:val="004110DF"/>
    <w:rsid w:val="00412DBA"/>
    <w:rsid w:val="004131D9"/>
    <w:rsid w:val="00413680"/>
    <w:rsid w:val="004136A3"/>
    <w:rsid w:val="00413936"/>
    <w:rsid w:val="00413B50"/>
    <w:rsid w:val="00413F46"/>
    <w:rsid w:val="0041439E"/>
    <w:rsid w:val="004144D3"/>
    <w:rsid w:val="004148A8"/>
    <w:rsid w:val="00414A49"/>
    <w:rsid w:val="00414AA1"/>
    <w:rsid w:val="004158E7"/>
    <w:rsid w:val="00415D18"/>
    <w:rsid w:val="004165D1"/>
    <w:rsid w:val="00416634"/>
    <w:rsid w:val="00416D2A"/>
    <w:rsid w:val="00416D5C"/>
    <w:rsid w:val="00416F8F"/>
    <w:rsid w:val="0041742C"/>
    <w:rsid w:val="004175CA"/>
    <w:rsid w:val="00417670"/>
    <w:rsid w:val="0042023A"/>
    <w:rsid w:val="00420BF4"/>
    <w:rsid w:val="0042101C"/>
    <w:rsid w:val="00421792"/>
    <w:rsid w:val="00421EA8"/>
    <w:rsid w:val="00422061"/>
    <w:rsid w:val="004223DD"/>
    <w:rsid w:val="004227F2"/>
    <w:rsid w:val="00422C82"/>
    <w:rsid w:val="004230C2"/>
    <w:rsid w:val="004236AD"/>
    <w:rsid w:val="00423808"/>
    <w:rsid w:val="00423F0A"/>
    <w:rsid w:val="004240E1"/>
    <w:rsid w:val="00424413"/>
    <w:rsid w:val="00424B40"/>
    <w:rsid w:val="00424D44"/>
    <w:rsid w:val="00425060"/>
    <w:rsid w:val="004250C6"/>
    <w:rsid w:val="00425F40"/>
    <w:rsid w:val="00426B51"/>
    <w:rsid w:val="00427054"/>
    <w:rsid w:val="00427B5E"/>
    <w:rsid w:val="00427DCA"/>
    <w:rsid w:val="00427EBB"/>
    <w:rsid w:val="0043012D"/>
    <w:rsid w:val="004309FE"/>
    <w:rsid w:val="00430D39"/>
    <w:rsid w:val="00431291"/>
    <w:rsid w:val="004313C5"/>
    <w:rsid w:val="00431F0E"/>
    <w:rsid w:val="00432094"/>
    <w:rsid w:val="004320D6"/>
    <w:rsid w:val="004330A6"/>
    <w:rsid w:val="00433113"/>
    <w:rsid w:val="004331CA"/>
    <w:rsid w:val="00433B58"/>
    <w:rsid w:val="00433BE7"/>
    <w:rsid w:val="0043411C"/>
    <w:rsid w:val="00434595"/>
    <w:rsid w:val="00434A25"/>
    <w:rsid w:val="00434E32"/>
    <w:rsid w:val="00434E44"/>
    <w:rsid w:val="004350BE"/>
    <w:rsid w:val="00435206"/>
    <w:rsid w:val="00435618"/>
    <w:rsid w:val="0043567F"/>
    <w:rsid w:val="0043570E"/>
    <w:rsid w:val="004366F5"/>
    <w:rsid w:val="004369F3"/>
    <w:rsid w:val="004374E1"/>
    <w:rsid w:val="0043751E"/>
    <w:rsid w:val="0043779A"/>
    <w:rsid w:val="004408A1"/>
    <w:rsid w:val="00440A34"/>
    <w:rsid w:val="00440DD2"/>
    <w:rsid w:val="00440F27"/>
    <w:rsid w:val="004416D6"/>
    <w:rsid w:val="00441CE7"/>
    <w:rsid w:val="00443E57"/>
    <w:rsid w:val="00443F91"/>
    <w:rsid w:val="00443FBC"/>
    <w:rsid w:val="00444624"/>
    <w:rsid w:val="00444E91"/>
    <w:rsid w:val="00444EE9"/>
    <w:rsid w:val="00445227"/>
    <w:rsid w:val="004454B1"/>
    <w:rsid w:val="0044583F"/>
    <w:rsid w:val="00445BEC"/>
    <w:rsid w:val="0044608C"/>
    <w:rsid w:val="004463C7"/>
    <w:rsid w:val="004468E8"/>
    <w:rsid w:val="00446F2A"/>
    <w:rsid w:val="004470B4"/>
    <w:rsid w:val="0044784F"/>
    <w:rsid w:val="00447C5B"/>
    <w:rsid w:val="00447CBD"/>
    <w:rsid w:val="004509D3"/>
    <w:rsid w:val="00450DA1"/>
    <w:rsid w:val="00451029"/>
    <w:rsid w:val="00451084"/>
    <w:rsid w:val="004510D1"/>
    <w:rsid w:val="00451650"/>
    <w:rsid w:val="00451941"/>
    <w:rsid w:val="004528EA"/>
    <w:rsid w:val="00453229"/>
    <w:rsid w:val="004535CF"/>
    <w:rsid w:val="004539A8"/>
    <w:rsid w:val="00453BA8"/>
    <w:rsid w:val="004546EB"/>
    <w:rsid w:val="004547A9"/>
    <w:rsid w:val="00454B85"/>
    <w:rsid w:val="00454DD5"/>
    <w:rsid w:val="0045522F"/>
    <w:rsid w:val="00455622"/>
    <w:rsid w:val="004557FE"/>
    <w:rsid w:val="00456013"/>
    <w:rsid w:val="00456958"/>
    <w:rsid w:val="00456B11"/>
    <w:rsid w:val="00456C00"/>
    <w:rsid w:val="00456C62"/>
    <w:rsid w:val="00456C89"/>
    <w:rsid w:val="00457101"/>
    <w:rsid w:val="0045741F"/>
    <w:rsid w:val="00457B64"/>
    <w:rsid w:val="00457F97"/>
    <w:rsid w:val="0046066E"/>
    <w:rsid w:val="00460CB4"/>
    <w:rsid w:val="00461004"/>
    <w:rsid w:val="004612F0"/>
    <w:rsid w:val="0046140E"/>
    <w:rsid w:val="00461B64"/>
    <w:rsid w:val="004622D8"/>
    <w:rsid w:val="00462A09"/>
    <w:rsid w:val="00462C32"/>
    <w:rsid w:val="00462EDD"/>
    <w:rsid w:val="00463260"/>
    <w:rsid w:val="0046329E"/>
    <w:rsid w:val="004633CE"/>
    <w:rsid w:val="0046352A"/>
    <w:rsid w:val="004635F0"/>
    <w:rsid w:val="00463DAD"/>
    <w:rsid w:val="00463F34"/>
    <w:rsid w:val="004646AB"/>
    <w:rsid w:val="004658CB"/>
    <w:rsid w:val="00465DA7"/>
    <w:rsid w:val="004669FA"/>
    <w:rsid w:val="00466EA7"/>
    <w:rsid w:val="00467797"/>
    <w:rsid w:val="00467870"/>
    <w:rsid w:val="00470654"/>
    <w:rsid w:val="0047108C"/>
    <w:rsid w:val="00471454"/>
    <w:rsid w:val="004715DA"/>
    <w:rsid w:val="004717F5"/>
    <w:rsid w:val="0047233B"/>
    <w:rsid w:val="0047244B"/>
    <w:rsid w:val="00472AC5"/>
    <w:rsid w:val="0047429F"/>
    <w:rsid w:val="004742D1"/>
    <w:rsid w:val="004751AD"/>
    <w:rsid w:val="00475525"/>
    <w:rsid w:val="004758B9"/>
    <w:rsid w:val="00475F50"/>
    <w:rsid w:val="0047613C"/>
    <w:rsid w:val="00476368"/>
    <w:rsid w:val="0047668C"/>
    <w:rsid w:val="00476C2F"/>
    <w:rsid w:val="00476DDA"/>
    <w:rsid w:val="004801CF"/>
    <w:rsid w:val="00480379"/>
    <w:rsid w:val="00480479"/>
    <w:rsid w:val="00480683"/>
    <w:rsid w:val="00480B80"/>
    <w:rsid w:val="00480F96"/>
    <w:rsid w:val="0048101D"/>
    <w:rsid w:val="00481D7B"/>
    <w:rsid w:val="00481DA0"/>
    <w:rsid w:val="00481F56"/>
    <w:rsid w:val="00482055"/>
    <w:rsid w:val="0048221B"/>
    <w:rsid w:val="004828D0"/>
    <w:rsid w:val="00482EE3"/>
    <w:rsid w:val="004835F2"/>
    <w:rsid w:val="0048365A"/>
    <w:rsid w:val="00483A63"/>
    <w:rsid w:val="00483BE1"/>
    <w:rsid w:val="00483E84"/>
    <w:rsid w:val="00484727"/>
    <w:rsid w:val="00484808"/>
    <w:rsid w:val="0048504E"/>
    <w:rsid w:val="004852F2"/>
    <w:rsid w:val="00485328"/>
    <w:rsid w:val="00485451"/>
    <w:rsid w:val="004858C1"/>
    <w:rsid w:val="004858E4"/>
    <w:rsid w:val="00485DED"/>
    <w:rsid w:val="0048600F"/>
    <w:rsid w:val="00486292"/>
    <w:rsid w:val="00486332"/>
    <w:rsid w:val="00486794"/>
    <w:rsid w:val="00486BB2"/>
    <w:rsid w:val="004871F9"/>
    <w:rsid w:val="004872ED"/>
    <w:rsid w:val="004873E1"/>
    <w:rsid w:val="00487AAF"/>
    <w:rsid w:val="00487B85"/>
    <w:rsid w:val="004900D4"/>
    <w:rsid w:val="004907E1"/>
    <w:rsid w:val="0049087B"/>
    <w:rsid w:val="00490975"/>
    <w:rsid w:val="00490BA7"/>
    <w:rsid w:val="00491BAC"/>
    <w:rsid w:val="00491BEA"/>
    <w:rsid w:val="0049205F"/>
    <w:rsid w:val="00492429"/>
    <w:rsid w:val="00492759"/>
    <w:rsid w:val="004927F7"/>
    <w:rsid w:val="00492BDD"/>
    <w:rsid w:val="004930A7"/>
    <w:rsid w:val="00493B8E"/>
    <w:rsid w:val="00493DC9"/>
    <w:rsid w:val="004940F5"/>
    <w:rsid w:val="0049466D"/>
    <w:rsid w:val="0049475F"/>
    <w:rsid w:val="00494811"/>
    <w:rsid w:val="00494CE9"/>
    <w:rsid w:val="00494F41"/>
    <w:rsid w:val="00494FB4"/>
    <w:rsid w:val="00495160"/>
    <w:rsid w:val="00495657"/>
    <w:rsid w:val="004958CE"/>
    <w:rsid w:val="00495D6D"/>
    <w:rsid w:val="00496354"/>
    <w:rsid w:val="00496B1C"/>
    <w:rsid w:val="00496C9D"/>
    <w:rsid w:val="0049765B"/>
    <w:rsid w:val="004976B8"/>
    <w:rsid w:val="00497EED"/>
    <w:rsid w:val="004A0BB5"/>
    <w:rsid w:val="004A15C7"/>
    <w:rsid w:val="004A161A"/>
    <w:rsid w:val="004A22AC"/>
    <w:rsid w:val="004A29C8"/>
    <w:rsid w:val="004A2E6E"/>
    <w:rsid w:val="004A2F29"/>
    <w:rsid w:val="004A32C9"/>
    <w:rsid w:val="004A3A7F"/>
    <w:rsid w:val="004A3BF9"/>
    <w:rsid w:val="004A3C9B"/>
    <w:rsid w:val="004A4081"/>
    <w:rsid w:val="004A4178"/>
    <w:rsid w:val="004A4355"/>
    <w:rsid w:val="004A44DC"/>
    <w:rsid w:val="004A4798"/>
    <w:rsid w:val="004A5624"/>
    <w:rsid w:val="004A5926"/>
    <w:rsid w:val="004A5B0F"/>
    <w:rsid w:val="004A5B46"/>
    <w:rsid w:val="004A5E23"/>
    <w:rsid w:val="004A6146"/>
    <w:rsid w:val="004A6A16"/>
    <w:rsid w:val="004A7651"/>
    <w:rsid w:val="004A7D2E"/>
    <w:rsid w:val="004B0672"/>
    <w:rsid w:val="004B18D7"/>
    <w:rsid w:val="004B1B1B"/>
    <w:rsid w:val="004B21B5"/>
    <w:rsid w:val="004B234F"/>
    <w:rsid w:val="004B28AB"/>
    <w:rsid w:val="004B2DBE"/>
    <w:rsid w:val="004B3AD7"/>
    <w:rsid w:val="004B3B4C"/>
    <w:rsid w:val="004B3D1D"/>
    <w:rsid w:val="004B41FD"/>
    <w:rsid w:val="004B4507"/>
    <w:rsid w:val="004B4BBD"/>
    <w:rsid w:val="004B52AC"/>
    <w:rsid w:val="004B5326"/>
    <w:rsid w:val="004B58D3"/>
    <w:rsid w:val="004B5A5B"/>
    <w:rsid w:val="004B5FD7"/>
    <w:rsid w:val="004B6234"/>
    <w:rsid w:val="004B650D"/>
    <w:rsid w:val="004B7089"/>
    <w:rsid w:val="004B7553"/>
    <w:rsid w:val="004B7B2B"/>
    <w:rsid w:val="004B7D5E"/>
    <w:rsid w:val="004B7E2C"/>
    <w:rsid w:val="004C0421"/>
    <w:rsid w:val="004C0511"/>
    <w:rsid w:val="004C087D"/>
    <w:rsid w:val="004C0BEC"/>
    <w:rsid w:val="004C0BF4"/>
    <w:rsid w:val="004C0D9D"/>
    <w:rsid w:val="004C0E61"/>
    <w:rsid w:val="004C135D"/>
    <w:rsid w:val="004C1A90"/>
    <w:rsid w:val="004C22DE"/>
    <w:rsid w:val="004C2388"/>
    <w:rsid w:val="004C23DA"/>
    <w:rsid w:val="004C2603"/>
    <w:rsid w:val="004C2612"/>
    <w:rsid w:val="004C2758"/>
    <w:rsid w:val="004C4323"/>
    <w:rsid w:val="004C45E4"/>
    <w:rsid w:val="004C5461"/>
    <w:rsid w:val="004C5EAC"/>
    <w:rsid w:val="004C6B1A"/>
    <w:rsid w:val="004C754E"/>
    <w:rsid w:val="004C75EC"/>
    <w:rsid w:val="004C799A"/>
    <w:rsid w:val="004C7B88"/>
    <w:rsid w:val="004C7E28"/>
    <w:rsid w:val="004C7EEE"/>
    <w:rsid w:val="004D0153"/>
    <w:rsid w:val="004D0188"/>
    <w:rsid w:val="004D046A"/>
    <w:rsid w:val="004D0553"/>
    <w:rsid w:val="004D0671"/>
    <w:rsid w:val="004D0823"/>
    <w:rsid w:val="004D0C3D"/>
    <w:rsid w:val="004D0DCD"/>
    <w:rsid w:val="004D123C"/>
    <w:rsid w:val="004D147E"/>
    <w:rsid w:val="004D1704"/>
    <w:rsid w:val="004D189B"/>
    <w:rsid w:val="004D2020"/>
    <w:rsid w:val="004D203C"/>
    <w:rsid w:val="004D2B1C"/>
    <w:rsid w:val="004D2C0A"/>
    <w:rsid w:val="004D2EE8"/>
    <w:rsid w:val="004D355F"/>
    <w:rsid w:val="004D3F72"/>
    <w:rsid w:val="004D408D"/>
    <w:rsid w:val="004D434B"/>
    <w:rsid w:val="004D487E"/>
    <w:rsid w:val="004D4AF9"/>
    <w:rsid w:val="004D4DA3"/>
    <w:rsid w:val="004D4ED9"/>
    <w:rsid w:val="004D5640"/>
    <w:rsid w:val="004D56E7"/>
    <w:rsid w:val="004D6CD3"/>
    <w:rsid w:val="004D6CD7"/>
    <w:rsid w:val="004D6E13"/>
    <w:rsid w:val="004D6EAC"/>
    <w:rsid w:val="004D76C0"/>
    <w:rsid w:val="004D796A"/>
    <w:rsid w:val="004D7D21"/>
    <w:rsid w:val="004D7E65"/>
    <w:rsid w:val="004D7EE5"/>
    <w:rsid w:val="004D7F24"/>
    <w:rsid w:val="004E002E"/>
    <w:rsid w:val="004E0249"/>
    <w:rsid w:val="004E030F"/>
    <w:rsid w:val="004E051D"/>
    <w:rsid w:val="004E07CA"/>
    <w:rsid w:val="004E098B"/>
    <w:rsid w:val="004E0B28"/>
    <w:rsid w:val="004E0BA6"/>
    <w:rsid w:val="004E1341"/>
    <w:rsid w:val="004E1BFA"/>
    <w:rsid w:val="004E20E0"/>
    <w:rsid w:val="004E249F"/>
    <w:rsid w:val="004E28C6"/>
    <w:rsid w:val="004E2FFE"/>
    <w:rsid w:val="004E312C"/>
    <w:rsid w:val="004E35BD"/>
    <w:rsid w:val="004E3B34"/>
    <w:rsid w:val="004E3E13"/>
    <w:rsid w:val="004E3E20"/>
    <w:rsid w:val="004E3FE8"/>
    <w:rsid w:val="004E433B"/>
    <w:rsid w:val="004E4700"/>
    <w:rsid w:val="004E480A"/>
    <w:rsid w:val="004E597F"/>
    <w:rsid w:val="004E59E7"/>
    <w:rsid w:val="004E5B35"/>
    <w:rsid w:val="004E6603"/>
    <w:rsid w:val="004E68E8"/>
    <w:rsid w:val="004E7981"/>
    <w:rsid w:val="004E7C6A"/>
    <w:rsid w:val="004F01EC"/>
    <w:rsid w:val="004F0597"/>
    <w:rsid w:val="004F08C3"/>
    <w:rsid w:val="004F0D7B"/>
    <w:rsid w:val="004F0D8B"/>
    <w:rsid w:val="004F1135"/>
    <w:rsid w:val="004F1331"/>
    <w:rsid w:val="004F1BD4"/>
    <w:rsid w:val="004F1FB6"/>
    <w:rsid w:val="004F1FD4"/>
    <w:rsid w:val="004F1FFD"/>
    <w:rsid w:val="004F224C"/>
    <w:rsid w:val="004F2D2B"/>
    <w:rsid w:val="004F2E77"/>
    <w:rsid w:val="004F377A"/>
    <w:rsid w:val="004F50DB"/>
    <w:rsid w:val="004F588F"/>
    <w:rsid w:val="004F6447"/>
    <w:rsid w:val="004F68E9"/>
    <w:rsid w:val="004F6CD3"/>
    <w:rsid w:val="004F6CEB"/>
    <w:rsid w:val="004F72F5"/>
    <w:rsid w:val="004F7412"/>
    <w:rsid w:val="004F78D1"/>
    <w:rsid w:val="005004D2"/>
    <w:rsid w:val="005004EE"/>
    <w:rsid w:val="0050052A"/>
    <w:rsid w:val="0050067F"/>
    <w:rsid w:val="00501569"/>
    <w:rsid w:val="00501AF9"/>
    <w:rsid w:val="00501D1D"/>
    <w:rsid w:val="00501EFC"/>
    <w:rsid w:val="00501F33"/>
    <w:rsid w:val="005020C5"/>
    <w:rsid w:val="005022CF"/>
    <w:rsid w:val="00502306"/>
    <w:rsid w:val="00502700"/>
    <w:rsid w:val="00502F81"/>
    <w:rsid w:val="00503175"/>
    <w:rsid w:val="005036B3"/>
    <w:rsid w:val="0050376E"/>
    <w:rsid w:val="00503FBC"/>
    <w:rsid w:val="00504610"/>
    <w:rsid w:val="00504E48"/>
    <w:rsid w:val="005050A3"/>
    <w:rsid w:val="00505132"/>
    <w:rsid w:val="005054DE"/>
    <w:rsid w:val="00505A0B"/>
    <w:rsid w:val="0050606D"/>
    <w:rsid w:val="00506153"/>
    <w:rsid w:val="0050682E"/>
    <w:rsid w:val="00506F8E"/>
    <w:rsid w:val="005072EB"/>
    <w:rsid w:val="00507538"/>
    <w:rsid w:val="00507581"/>
    <w:rsid w:val="00510818"/>
    <w:rsid w:val="00511366"/>
    <w:rsid w:val="00511CE7"/>
    <w:rsid w:val="00512087"/>
    <w:rsid w:val="00512118"/>
    <w:rsid w:val="0051297A"/>
    <w:rsid w:val="005139BB"/>
    <w:rsid w:val="00513C6A"/>
    <w:rsid w:val="00513DDA"/>
    <w:rsid w:val="00514735"/>
    <w:rsid w:val="005149F6"/>
    <w:rsid w:val="00514B75"/>
    <w:rsid w:val="005156D1"/>
    <w:rsid w:val="005159A9"/>
    <w:rsid w:val="00515F7B"/>
    <w:rsid w:val="00516519"/>
    <w:rsid w:val="00516E9C"/>
    <w:rsid w:val="00517447"/>
    <w:rsid w:val="0051782F"/>
    <w:rsid w:val="00517C99"/>
    <w:rsid w:val="00517D24"/>
    <w:rsid w:val="00517F84"/>
    <w:rsid w:val="00517FD7"/>
    <w:rsid w:val="005202D5"/>
    <w:rsid w:val="005207EC"/>
    <w:rsid w:val="00520858"/>
    <w:rsid w:val="00520B53"/>
    <w:rsid w:val="00520EEB"/>
    <w:rsid w:val="0052103D"/>
    <w:rsid w:val="00521322"/>
    <w:rsid w:val="00521AB4"/>
    <w:rsid w:val="00521C18"/>
    <w:rsid w:val="00522293"/>
    <w:rsid w:val="00522AE6"/>
    <w:rsid w:val="00522BD2"/>
    <w:rsid w:val="00522C57"/>
    <w:rsid w:val="00523A00"/>
    <w:rsid w:val="00523BCB"/>
    <w:rsid w:val="00524534"/>
    <w:rsid w:val="00524A55"/>
    <w:rsid w:val="005251B0"/>
    <w:rsid w:val="0052553B"/>
    <w:rsid w:val="00525B0F"/>
    <w:rsid w:val="00526718"/>
    <w:rsid w:val="005269D8"/>
    <w:rsid w:val="00526A09"/>
    <w:rsid w:val="00526D85"/>
    <w:rsid w:val="00527316"/>
    <w:rsid w:val="00527855"/>
    <w:rsid w:val="005278FD"/>
    <w:rsid w:val="00527CAE"/>
    <w:rsid w:val="0053018B"/>
    <w:rsid w:val="00530A84"/>
    <w:rsid w:val="00531191"/>
    <w:rsid w:val="005318AB"/>
    <w:rsid w:val="00531F4B"/>
    <w:rsid w:val="005327AB"/>
    <w:rsid w:val="0053371F"/>
    <w:rsid w:val="005338AE"/>
    <w:rsid w:val="00533ADC"/>
    <w:rsid w:val="00533D49"/>
    <w:rsid w:val="00534142"/>
    <w:rsid w:val="005343EC"/>
    <w:rsid w:val="005348B5"/>
    <w:rsid w:val="00534BA8"/>
    <w:rsid w:val="005357A0"/>
    <w:rsid w:val="00535FFC"/>
    <w:rsid w:val="0053607D"/>
    <w:rsid w:val="005362AE"/>
    <w:rsid w:val="00537328"/>
    <w:rsid w:val="00537CED"/>
    <w:rsid w:val="005405D4"/>
    <w:rsid w:val="00541CA7"/>
    <w:rsid w:val="005423A0"/>
    <w:rsid w:val="00542581"/>
    <w:rsid w:val="005425D1"/>
    <w:rsid w:val="00542797"/>
    <w:rsid w:val="005427C1"/>
    <w:rsid w:val="0054363B"/>
    <w:rsid w:val="005438BA"/>
    <w:rsid w:val="00543F5C"/>
    <w:rsid w:val="00544076"/>
    <w:rsid w:val="005442BA"/>
    <w:rsid w:val="00544942"/>
    <w:rsid w:val="00544E0A"/>
    <w:rsid w:val="0054598E"/>
    <w:rsid w:val="00545BF4"/>
    <w:rsid w:val="00546056"/>
    <w:rsid w:val="0054680D"/>
    <w:rsid w:val="00546C7C"/>
    <w:rsid w:val="0054784D"/>
    <w:rsid w:val="00547859"/>
    <w:rsid w:val="00550229"/>
    <w:rsid w:val="005503AA"/>
    <w:rsid w:val="005504F3"/>
    <w:rsid w:val="00550829"/>
    <w:rsid w:val="00550EF7"/>
    <w:rsid w:val="0055129D"/>
    <w:rsid w:val="00551545"/>
    <w:rsid w:val="00551B1F"/>
    <w:rsid w:val="0055287A"/>
    <w:rsid w:val="00552F61"/>
    <w:rsid w:val="005532CB"/>
    <w:rsid w:val="0055382B"/>
    <w:rsid w:val="0055396A"/>
    <w:rsid w:val="00553BF4"/>
    <w:rsid w:val="00553D58"/>
    <w:rsid w:val="005545FD"/>
    <w:rsid w:val="00554965"/>
    <w:rsid w:val="00554FDA"/>
    <w:rsid w:val="00555254"/>
    <w:rsid w:val="0055586A"/>
    <w:rsid w:val="005559CF"/>
    <w:rsid w:val="00555D2D"/>
    <w:rsid w:val="00555E8F"/>
    <w:rsid w:val="00557273"/>
    <w:rsid w:val="005574A9"/>
    <w:rsid w:val="00557572"/>
    <w:rsid w:val="005577CA"/>
    <w:rsid w:val="00557A36"/>
    <w:rsid w:val="00557EAD"/>
    <w:rsid w:val="00560D77"/>
    <w:rsid w:val="00560E5C"/>
    <w:rsid w:val="00560F67"/>
    <w:rsid w:val="005611F1"/>
    <w:rsid w:val="00561D52"/>
    <w:rsid w:val="00562546"/>
    <w:rsid w:val="0056256C"/>
    <w:rsid w:val="00562A3A"/>
    <w:rsid w:val="00562E1E"/>
    <w:rsid w:val="00563479"/>
    <w:rsid w:val="00563D0D"/>
    <w:rsid w:val="00563D5A"/>
    <w:rsid w:val="00563D6A"/>
    <w:rsid w:val="005640F7"/>
    <w:rsid w:val="00566021"/>
    <w:rsid w:val="005665BA"/>
    <w:rsid w:val="00566AEA"/>
    <w:rsid w:val="00566BF9"/>
    <w:rsid w:val="00567D27"/>
    <w:rsid w:val="00567D91"/>
    <w:rsid w:val="00570005"/>
    <w:rsid w:val="00570084"/>
    <w:rsid w:val="005703C0"/>
    <w:rsid w:val="0057093E"/>
    <w:rsid w:val="0057136E"/>
    <w:rsid w:val="00571947"/>
    <w:rsid w:val="00571CE3"/>
    <w:rsid w:val="00571E01"/>
    <w:rsid w:val="0057215A"/>
    <w:rsid w:val="00572796"/>
    <w:rsid w:val="00572B43"/>
    <w:rsid w:val="00573036"/>
    <w:rsid w:val="005733A2"/>
    <w:rsid w:val="00573F09"/>
    <w:rsid w:val="00574AC3"/>
    <w:rsid w:val="00574B89"/>
    <w:rsid w:val="00575344"/>
    <w:rsid w:val="005753C3"/>
    <w:rsid w:val="00575CCC"/>
    <w:rsid w:val="00575DD9"/>
    <w:rsid w:val="00575F42"/>
    <w:rsid w:val="0057660E"/>
    <w:rsid w:val="00576828"/>
    <w:rsid w:val="00576837"/>
    <w:rsid w:val="005768EB"/>
    <w:rsid w:val="00576AAA"/>
    <w:rsid w:val="0057706A"/>
    <w:rsid w:val="005772A5"/>
    <w:rsid w:val="00577A0D"/>
    <w:rsid w:val="00577FFE"/>
    <w:rsid w:val="005814AC"/>
    <w:rsid w:val="00581C4E"/>
    <w:rsid w:val="00581DD9"/>
    <w:rsid w:val="00582303"/>
    <w:rsid w:val="0058242B"/>
    <w:rsid w:val="00582503"/>
    <w:rsid w:val="00582ECC"/>
    <w:rsid w:val="00583380"/>
    <w:rsid w:val="0058382F"/>
    <w:rsid w:val="0058389B"/>
    <w:rsid w:val="005849A2"/>
    <w:rsid w:val="00584BEA"/>
    <w:rsid w:val="0058556D"/>
    <w:rsid w:val="00586090"/>
    <w:rsid w:val="00586396"/>
    <w:rsid w:val="0058649E"/>
    <w:rsid w:val="0058650C"/>
    <w:rsid w:val="0058704D"/>
    <w:rsid w:val="0058721B"/>
    <w:rsid w:val="005875DC"/>
    <w:rsid w:val="00590220"/>
    <w:rsid w:val="00590385"/>
    <w:rsid w:val="0059060F"/>
    <w:rsid w:val="005907BC"/>
    <w:rsid w:val="005909D9"/>
    <w:rsid w:val="005909F7"/>
    <w:rsid w:val="00590EC7"/>
    <w:rsid w:val="00590F9C"/>
    <w:rsid w:val="00591177"/>
    <w:rsid w:val="005912B4"/>
    <w:rsid w:val="005926D7"/>
    <w:rsid w:val="0059283B"/>
    <w:rsid w:val="00592BB3"/>
    <w:rsid w:val="005935BF"/>
    <w:rsid w:val="00593804"/>
    <w:rsid w:val="00593D07"/>
    <w:rsid w:val="00594581"/>
    <w:rsid w:val="005945F2"/>
    <w:rsid w:val="005948C7"/>
    <w:rsid w:val="00595040"/>
    <w:rsid w:val="00595985"/>
    <w:rsid w:val="00596675"/>
    <w:rsid w:val="00596CB9"/>
    <w:rsid w:val="00596E44"/>
    <w:rsid w:val="00596ECB"/>
    <w:rsid w:val="005971C1"/>
    <w:rsid w:val="00597268"/>
    <w:rsid w:val="00597CA7"/>
    <w:rsid w:val="00597EEB"/>
    <w:rsid w:val="005A0164"/>
    <w:rsid w:val="005A02B8"/>
    <w:rsid w:val="005A0380"/>
    <w:rsid w:val="005A0493"/>
    <w:rsid w:val="005A1255"/>
    <w:rsid w:val="005A12FE"/>
    <w:rsid w:val="005A15E2"/>
    <w:rsid w:val="005A16EB"/>
    <w:rsid w:val="005A1C57"/>
    <w:rsid w:val="005A1C85"/>
    <w:rsid w:val="005A1E39"/>
    <w:rsid w:val="005A2B25"/>
    <w:rsid w:val="005A323F"/>
    <w:rsid w:val="005A3BAF"/>
    <w:rsid w:val="005A4060"/>
    <w:rsid w:val="005A42FC"/>
    <w:rsid w:val="005A4B95"/>
    <w:rsid w:val="005A4E8E"/>
    <w:rsid w:val="005A4FCD"/>
    <w:rsid w:val="005A5064"/>
    <w:rsid w:val="005A57F4"/>
    <w:rsid w:val="005A5A44"/>
    <w:rsid w:val="005A655A"/>
    <w:rsid w:val="005A6FC3"/>
    <w:rsid w:val="005A702C"/>
    <w:rsid w:val="005A712C"/>
    <w:rsid w:val="005A77A9"/>
    <w:rsid w:val="005A78C2"/>
    <w:rsid w:val="005A7BBA"/>
    <w:rsid w:val="005B00C6"/>
    <w:rsid w:val="005B0409"/>
    <w:rsid w:val="005B049D"/>
    <w:rsid w:val="005B083A"/>
    <w:rsid w:val="005B0B15"/>
    <w:rsid w:val="005B156B"/>
    <w:rsid w:val="005B19D4"/>
    <w:rsid w:val="005B1B73"/>
    <w:rsid w:val="005B1E9C"/>
    <w:rsid w:val="005B1EFA"/>
    <w:rsid w:val="005B1FDF"/>
    <w:rsid w:val="005B2199"/>
    <w:rsid w:val="005B21C5"/>
    <w:rsid w:val="005B26C7"/>
    <w:rsid w:val="005B3B67"/>
    <w:rsid w:val="005B3E77"/>
    <w:rsid w:val="005B521E"/>
    <w:rsid w:val="005B5A69"/>
    <w:rsid w:val="005B7427"/>
    <w:rsid w:val="005B7489"/>
    <w:rsid w:val="005B748C"/>
    <w:rsid w:val="005B7C4E"/>
    <w:rsid w:val="005C0513"/>
    <w:rsid w:val="005C07B6"/>
    <w:rsid w:val="005C0E1A"/>
    <w:rsid w:val="005C112A"/>
    <w:rsid w:val="005C116B"/>
    <w:rsid w:val="005C1734"/>
    <w:rsid w:val="005C1A4F"/>
    <w:rsid w:val="005C311A"/>
    <w:rsid w:val="005C349E"/>
    <w:rsid w:val="005C4551"/>
    <w:rsid w:val="005C4840"/>
    <w:rsid w:val="005C4BC3"/>
    <w:rsid w:val="005C4BED"/>
    <w:rsid w:val="005C5890"/>
    <w:rsid w:val="005C58A4"/>
    <w:rsid w:val="005C5E35"/>
    <w:rsid w:val="005C641B"/>
    <w:rsid w:val="005C641D"/>
    <w:rsid w:val="005C6BB4"/>
    <w:rsid w:val="005C7025"/>
    <w:rsid w:val="005C76FB"/>
    <w:rsid w:val="005C77A6"/>
    <w:rsid w:val="005C7F1C"/>
    <w:rsid w:val="005C7F6A"/>
    <w:rsid w:val="005D0BC6"/>
    <w:rsid w:val="005D0D8E"/>
    <w:rsid w:val="005D1677"/>
    <w:rsid w:val="005D1F1D"/>
    <w:rsid w:val="005D2634"/>
    <w:rsid w:val="005D264D"/>
    <w:rsid w:val="005D28AB"/>
    <w:rsid w:val="005D28BF"/>
    <w:rsid w:val="005D2CDE"/>
    <w:rsid w:val="005D2F1C"/>
    <w:rsid w:val="005D3051"/>
    <w:rsid w:val="005D312D"/>
    <w:rsid w:val="005D339F"/>
    <w:rsid w:val="005D3561"/>
    <w:rsid w:val="005D36E3"/>
    <w:rsid w:val="005D3974"/>
    <w:rsid w:val="005D3CFD"/>
    <w:rsid w:val="005D4140"/>
    <w:rsid w:val="005D47F4"/>
    <w:rsid w:val="005D4E73"/>
    <w:rsid w:val="005D516F"/>
    <w:rsid w:val="005D56BF"/>
    <w:rsid w:val="005D69CC"/>
    <w:rsid w:val="005D6DFF"/>
    <w:rsid w:val="005D6F09"/>
    <w:rsid w:val="005D75A0"/>
    <w:rsid w:val="005D7897"/>
    <w:rsid w:val="005D794D"/>
    <w:rsid w:val="005D7DCD"/>
    <w:rsid w:val="005E0902"/>
    <w:rsid w:val="005E0CD0"/>
    <w:rsid w:val="005E0E06"/>
    <w:rsid w:val="005E0F0F"/>
    <w:rsid w:val="005E12DF"/>
    <w:rsid w:val="005E175E"/>
    <w:rsid w:val="005E1791"/>
    <w:rsid w:val="005E1B89"/>
    <w:rsid w:val="005E1CE6"/>
    <w:rsid w:val="005E1F13"/>
    <w:rsid w:val="005E1FE9"/>
    <w:rsid w:val="005E1FEF"/>
    <w:rsid w:val="005E22F7"/>
    <w:rsid w:val="005E263F"/>
    <w:rsid w:val="005E2AB9"/>
    <w:rsid w:val="005E2CED"/>
    <w:rsid w:val="005E2D45"/>
    <w:rsid w:val="005E2E24"/>
    <w:rsid w:val="005E30F6"/>
    <w:rsid w:val="005E3290"/>
    <w:rsid w:val="005E36DF"/>
    <w:rsid w:val="005E3D78"/>
    <w:rsid w:val="005E3E26"/>
    <w:rsid w:val="005E3E87"/>
    <w:rsid w:val="005E4591"/>
    <w:rsid w:val="005E495A"/>
    <w:rsid w:val="005E5AF4"/>
    <w:rsid w:val="005E688A"/>
    <w:rsid w:val="005E7025"/>
    <w:rsid w:val="005E7036"/>
    <w:rsid w:val="005E7294"/>
    <w:rsid w:val="005E72BE"/>
    <w:rsid w:val="005E77A4"/>
    <w:rsid w:val="005E78BE"/>
    <w:rsid w:val="005E7BEC"/>
    <w:rsid w:val="005E7D11"/>
    <w:rsid w:val="005E7D92"/>
    <w:rsid w:val="005F012F"/>
    <w:rsid w:val="005F0779"/>
    <w:rsid w:val="005F1087"/>
    <w:rsid w:val="005F1995"/>
    <w:rsid w:val="005F1DA8"/>
    <w:rsid w:val="005F22A4"/>
    <w:rsid w:val="005F2A68"/>
    <w:rsid w:val="005F3344"/>
    <w:rsid w:val="005F3667"/>
    <w:rsid w:val="005F37A4"/>
    <w:rsid w:val="005F3A16"/>
    <w:rsid w:val="005F3B10"/>
    <w:rsid w:val="005F3F39"/>
    <w:rsid w:val="005F3FF0"/>
    <w:rsid w:val="005F4113"/>
    <w:rsid w:val="005F4278"/>
    <w:rsid w:val="005F450F"/>
    <w:rsid w:val="005F46E5"/>
    <w:rsid w:val="005F4BB5"/>
    <w:rsid w:val="005F4EFC"/>
    <w:rsid w:val="005F5673"/>
    <w:rsid w:val="005F5C26"/>
    <w:rsid w:val="005F71C5"/>
    <w:rsid w:val="005F75AA"/>
    <w:rsid w:val="005F75F7"/>
    <w:rsid w:val="0060060E"/>
    <w:rsid w:val="006007A5"/>
    <w:rsid w:val="00600C4B"/>
    <w:rsid w:val="00601E6A"/>
    <w:rsid w:val="006020EF"/>
    <w:rsid w:val="006022CB"/>
    <w:rsid w:val="00602650"/>
    <w:rsid w:val="00602CC1"/>
    <w:rsid w:val="00602D5A"/>
    <w:rsid w:val="00603665"/>
    <w:rsid w:val="006045A2"/>
    <w:rsid w:val="00604A70"/>
    <w:rsid w:val="00604A96"/>
    <w:rsid w:val="00605597"/>
    <w:rsid w:val="0060598D"/>
    <w:rsid w:val="00605DCF"/>
    <w:rsid w:val="00605ECE"/>
    <w:rsid w:val="006062C6"/>
    <w:rsid w:val="0060685A"/>
    <w:rsid w:val="00606C92"/>
    <w:rsid w:val="00606FBE"/>
    <w:rsid w:val="006073AA"/>
    <w:rsid w:val="006074B6"/>
    <w:rsid w:val="00607D00"/>
    <w:rsid w:val="00607D37"/>
    <w:rsid w:val="00607EA6"/>
    <w:rsid w:val="0061007A"/>
    <w:rsid w:val="006101BB"/>
    <w:rsid w:val="00610504"/>
    <w:rsid w:val="006109AB"/>
    <w:rsid w:val="00610B3C"/>
    <w:rsid w:val="00611022"/>
    <w:rsid w:val="00612000"/>
    <w:rsid w:val="00612232"/>
    <w:rsid w:val="00612A40"/>
    <w:rsid w:val="00612B78"/>
    <w:rsid w:val="00612BA1"/>
    <w:rsid w:val="00612FE5"/>
    <w:rsid w:val="006139C2"/>
    <w:rsid w:val="00614119"/>
    <w:rsid w:val="00614F06"/>
    <w:rsid w:val="00615C2E"/>
    <w:rsid w:val="00615C3D"/>
    <w:rsid w:val="00616427"/>
    <w:rsid w:val="0061647D"/>
    <w:rsid w:val="0061724D"/>
    <w:rsid w:val="00617730"/>
    <w:rsid w:val="006178DA"/>
    <w:rsid w:val="00617EBA"/>
    <w:rsid w:val="006204F3"/>
    <w:rsid w:val="006207FD"/>
    <w:rsid w:val="00620871"/>
    <w:rsid w:val="00621139"/>
    <w:rsid w:val="006214A5"/>
    <w:rsid w:val="00621C12"/>
    <w:rsid w:val="00621E28"/>
    <w:rsid w:val="00622076"/>
    <w:rsid w:val="0062349A"/>
    <w:rsid w:val="006234F6"/>
    <w:rsid w:val="0062362A"/>
    <w:rsid w:val="00624605"/>
    <w:rsid w:val="00624B41"/>
    <w:rsid w:val="0062556D"/>
    <w:rsid w:val="00625AE0"/>
    <w:rsid w:val="006269FF"/>
    <w:rsid w:val="00626B2F"/>
    <w:rsid w:val="00626E95"/>
    <w:rsid w:val="00626ED8"/>
    <w:rsid w:val="00626F34"/>
    <w:rsid w:val="00627817"/>
    <w:rsid w:val="0062785B"/>
    <w:rsid w:val="00627BFE"/>
    <w:rsid w:val="00627FF0"/>
    <w:rsid w:val="006300B0"/>
    <w:rsid w:val="0063052F"/>
    <w:rsid w:val="006307C3"/>
    <w:rsid w:val="00630A48"/>
    <w:rsid w:val="00630B7C"/>
    <w:rsid w:val="00630F10"/>
    <w:rsid w:val="0063235E"/>
    <w:rsid w:val="0063262A"/>
    <w:rsid w:val="0063263B"/>
    <w:rsid w:val="00632AC3"/>
    <w:rsid w:val="00632CF4"/>
    <w:rsid w:val="00633585"/>
    <w:rsid w:val="00633829"/>
    <w:rsid w:val="00633990"/>
    <w:rsid w:val="0063423A"/>
    <w:rsid w:val="00634273"/>
    <w:rsid w:val="00634BAB"/>
    <w:rsid w:val="00634C9B"/>
    <w:rsid w:val="00634F50"/>
    <w:rsid w:val="00635178"/>
    <w:rsid w:val="006353E5"/>
    <w:rsid w:val="00635A02"/>
    <w:rsid w:val="00636507"/>
    <w:rsid w:val="006366E3"/>
    <w:rsid w:val="0063683C"/>
    <w:rsid w:val="00636D37"/>
    <w:rsid w:val="0063702A"/>
    <w:rsid w:val="00637030"/>
    <w:rsid w:val="0063779C"/>
    <w:rsid w:val="00637818"/>
    <w:rsid w:val="00640501"/>
    <w:rsid w:val="00640552"/>
    <w:rsid w:val="00640B2C"/>
    <w:rsid w:val="00640CB0"/>
    <w:rsid w:val="00640FCF"/>
    <w:rsid w:val="0064127D"/>
    <w:rsid w:val="00641C3F"/>
    <w:rsid w:val="00641DBF"/>
    <w:rsid w:val="00641F28"/>
    <w:rsid w:val="00642935"/>
    <w:rsid w:val="00642B19"/>
    <w:rsid w:val="00642F76"/>
    <w:rsid w:val="00643262"/>
    <w:rsid w:val="00643304"/>
    <w:rsid w:val="0064378D"/>
    <w:rsid w:val="00643CC1"/>
    <w:rsid w:val="006442E5"/>
    <w:rsid w:val="0064451C"/>
    <w:rsid w:val="00645314"/>
    <w:rsid w:val="00645879"/>
    <w:rsid w:val="00645D7A"/>
    <w:rsid w:val="00645F66"/>
    <w:rsid w:val="006461D7"/>
    <w:rsid w:val="00646A1D"/>
    <w:rsid w:val="00650068"/>
    <w:rsid w:val="00650298"/>
    <w:rsid w:val="006509E4"/>
    <w:rsid w:val="00650AC5"/>
    <w:rsid w:val="00650E7F"/>
    <w:rsid w:val="00650F19"/>
    <w:rsid w:val="00650F8D"/>
    <w:rsid w:val="006517BA"/>
    <w:rsid w:val="00651A87"/>
    <w:rsid w:val="00651AD3"/>
    <w:rsid w:val="00652EC2"/>
    <w:rsid w:val="00653C04"/>
    <w:rsid w:val="00653E8D"/>
    <w:rsid w:val="00654AA0"/>
    <w:rsid w:val="00654AB5"/>
    <w:rsid w:val="006551AC"/>
    <w:rsid w:val="006555F6"/>
    <w:rsid w:val="00655E42"/>
    <w:rsid w:val="00655FA2"/>
    <w:rsid w:val="0065600E"/>
    <w:rsid w:val="00656450"/>
    <w:rsid w:val="0065666B"/>
    <w:rsid w:val="00656D11"/>
    <w:rsid w:val="00657422"/>
    <w:rsid w:val="0065784B"/>
    <w:rsid w:val="00657B20"/>
    <w:rsid w:val="00657E63"/>
    <w:rsid w:val="0066045A"/>
    <w:rsid w:val="00660D14"/>
    <w:rsid w:val="006610E5"/>
    <w:rsid w:val="006612B2"/>
    <w:rsid w:val="006615DA"/>
    <w:rsid w:val="00661606"/>
    <w:rsid w:val="006616AB"/>
    <w:rsid w:val="00662271"/>
    <w:rsid w:val="00662342"/>
    <w:rsid w:val="00662385"/>
    <w:rsid w:val="00662E62"/>
    <w:rsid w:val="0066348A"/>
    <w:rsid w:val="00664035"/>
    <w:rsid w:val="006642EF"/>
    <w:rsid w:val="00664A18"/>
    <w:rsid w:val="00664A60"/>
    <w:rsid w:val="00664BBB"/>
    <w:rsid w:val="00665000"/>
    <w:rsid w:val="006652DC"/>
    <w:rsid w:val="00665576"/>
    <w:rsid w:val="00667422"/>
    <w:rsid w:val="0066749D"/>
    <w:rsid w:val="006679B3"/>
    <w:rsid w:val="00667D78"/>
    <w:rsid w:val="00667ED8"/>
    <w:rsid w:val="0067084D"/>
    <w:rsid w:val="00670E80"/>
    <w:rsid w:val="00670EAA"/>
    <w:rsid w:val="00671097"/>
    <w:rsid w:val="00671365"/>
    <w:rsid w:val="0067154F"/>
    <w:rsid w:val="006717D7"/>
    <w:rsid w:val="00671BE8"/>
    <w:rsid w:val="00671C9F"/>
    <w:rsid w:val="0067207B"/>
    <w:rsid w:val="00672173"/>
    <w:rsid w:val="00672413"/>
    <w:rsid w:val="00672C59"/>
    <w:rsid w:val="0067304D"/>
    <w:rsid w:val="006730D2"/>
    <w:rsid w:val="0067325C"/>
    <w:rsid w:val="006740C5"/>
    <w:rsid w:val="00674127"/>
    <w:rsid w:val="00674390"/>
    <w:rsid w:val="006743D2"/>
    <w:rsid w:val="00674627"/>
    <w:rsid w:val="00674F2F"/>
    <w:rsid w:val="00674F97"/>
    <w:rsid w:val="00675043"/>
    <w:rsid w:val="00675437"/>
    <w:rsid w:val="00675717"/>
    <w:rsid w:val="00675A51"/>
    <w:rsid w:val="00676C87"/>
    <w:rsid w:val="00676CD5"/>
    <w:rsid w:val="006775AF"/>
    <w:rsid w:val="0067778E"/>
    <w:rsid w:val="00677AED"/>
    <w:rsid w:val="0068004A"/>
    <w:rsid w:val="006807EC"/>
    <w:rsid w:val="006807F0"/>
    <w:rsid w:val="00680EDB"/>
    <w:rsid w:val="00680F8E"/>
    <w:rsid w:val="00681CDA"/>
    <w:rsid w:val="00681CFF"/>
    <w:rsid w:val="006823C5"/>
    <w:rsid w:val="0068288B"/>
    <w:rsid w:val="00682A7B"/>
    <w:rsid w:val="00682F1D"/>
    <w:rsid w:val="0068341D"/>
    <w:rsid w:val="0068359D"/>
    <w:rsid w:val="0068405E"/>
    <w:rsid w:val="0068411E"/>
    <w:rsid w:val="00684303"/>
    <w:rsid w:val="006846AC"/>
    <w:rsid w:val="00684D02"/>
    <w:rsid w:val="006851B6"/>
    <w:rsid w:val="006855D7"/>
    <w:rsid w:val="00685B82"/>
    <w:rsid w:val="00687A1F"/>
    <w:rsid w:val="006903EA"/>
    <w:rsid w:val="00690885"/>
    <w:rsid w:val="00691021"/>
    <w:rsid w:val="00691236"/>
    <w:rsid w:val="006916CA"/>
    <w:rsid w:val="006919BA"/>
    <w:rsid w:val="00692CD7"/>
    <w:rsid w:val="00692EAB"/>
    <w:rsid w:val="00692F94"/>
    <w:rsid w:val="00693CC4"/>
    <w:rsid w:val="0069469E"/>
    <w:rsid w:val="00694A4E"/>
    <w:rsid w:val="006955F6"/>
    <w:rsid w:val="006959E6"/>
    <w:rsid w:val="00696311"/>
    <w:rsid w:val="006970A9"/>
    <w:rsid w:val="00697363"/>
    <w:rsid w:val="006973E5"/>
    <w:rsid w:val="006979DE"/>
    <w:rsid w:val="00697C09"/>
    <w:rsid w:val="006A0187"/>
    <w:rsid w:val="006A0211"/>
    <w:rsid w:val="006A08F6"/>
    <w:rsid w:val="006A0E21"/>
    <w:rsid w:val="006A1216"/>
    <w:rsid w:val="006A206F"/>
    <w:rsid w:val="006A237A"/>
    <w:rsid w:val="006A267F"/>
    <w:rsid w:val="006A2753"/>
    <w:rsid w:val="006A27A3"/>
    <w:rsid w:val="006A27D5"/>
    <w:rsid w:val="006A283C"/>
    <w:rsid w:val="006A2A00"/>
    <w:rsid w:val="006A2D43"/>
    <w:rsid w:val="006A3427"/>
    <w:rsid w:val="006A3A6F"/>
    <w:rsid w:val="006A3B97"/>
    <w:rsid w:val="006A3DEA"/>
    <w:rsid w:val="006A4B57"/>
    <w:rsid w:val="006A4EE4"/>
    <w:rsid w:val="006A4F05"/>
    <w:rsid w:val="006A51DB"/>
    <w:rsid w:val="006A53F4"/>
    <w:rsid w:val="006A5403"/>
    <w:rsid w:val="006A55E5"/>
    <w:rsid w:val="006A573B"/>
    <w:rsid w:val="006A578C"/>
    <w:rsid w:val="006A6130"/>
    <w:rsid w:val="006A6190"/>
    <w:rsid w:val="006A684D"/>
    <w:rsid w:val="006A6A3B"/>
    <w:rsid w:val="006A6BDF"/>
    <w:rsid w:val="006A6E92"/>
    <w:rsid w:val="006A6F90"/>
    <w:rsid w:val="006A7091"/>
    <w:rsid w:val="006A7112"/>
    <w:rsid w:val="006A7305"/>
    <w:rsid w:val="006A7D86"/>
    <w:rsid w:val="006A7EF0"/>
    <w:rsid w:val="006B00B4"/>
    <w:rsid w:val="006B0127"/>
    <w:rsid w:val="006B0175"/>
    <w:rsid w:val="006B063E"/>
    <w:rsid w:val="006B073C"/>
    <w:rsid w:val="006B0A28"/>
    <w:rsid w:val="006B0BF7"/>
    <w:rsid w:val="006B13EB"/>
    <w:rsid w:val="006B1A17"/>
    <w:rsid w:val="006B1A4F"/>
    <w:rsid w:val="006B1A5B"/>
    <w:rsid w:val="006B2101"/>
    <w:rsid w:val="006B227B"/>
    <w:rsid w:val="006B2353"/>
    <w:rsid w:val="006B26F4"/>
    <w:rsid w:val="006B27D8"/>
    <w:rsid w:val="006B29CA"/>
    <w:rsid w:val="006B2BF6"/>
    <w:rsid w:val="006B3062"/>
    <w:rsid w:val="006B323D"/>
    <w:rsid w:val="006B32AB"/>
    <w:rsid w:val="006B34F4"/>
    <w:rsid w:val="006B3641"/>
    <w:rsid w:val="006B41EA"/>
    <w:rsid w:val="006B4257"/>
    <w:rsid w:val="006B4640"/>
    <w:rsid w:val="006B4744"/>
    <w:rsid w:val="006B49D5"/>
    <w:rsid w:val="006B50A7"/>
    <w:rsid w:val="006B5357"/>
    <w:rsid w:val="006B5958"/>
    <w:rsid w:val="006B5A79"/>
    <w:rsid w:val="006B6151"/>
    <w:rsid w:val="006B63A3"/>
    <w:rsid w:val="006B64BF"/>
    <w:rsid w:val="006B650D"/>
    <w:rsid w:val="006B6A2B"/>
    <w:rsid w:val="006B6C40"/>
    <w:rsid w:val="006B78A8"/>
    <w:rsid w:val="006B7CFD"/>
    <w:rsid w:val="006C0521"/>
    <w:rsid w:val="006C158A"/>
    <w:rsid w:val="006C1B19"/>
    <w:rsid w:val="006C1BB0"/>
    <w:rsid w:val="006C1D32"/>
    <w:rsid w:val="006C1DD0"/>
    <w:rsid w:val="006C2653"/>
    <w:rsid w:val="006C2DB4"/>
    <w:rsid w:val="006C2F36"/>
    <w:rsid w:val="006C330F"/>
    <w:rsid w:val="006C3DB1"/>
    <w:rsid w:val="006C41CC"/>
    <w:rsid w:val="006C483F"/>
    <w:rsid w:val="006C4876"/>
    <w:rsid w:val="006C4EF4"/>
    <w:rsid w:val="006C5159"/>
    <w:rsid w:val="006C663C"/>
    <w:rsid w:val="006C6B37"/>
    <w:rsid w:val="006C6B6E"/>
    <w:rsid w:val="006C6B94"/>
    <w:rsid w:val="006C7223"/>
    <w:rsid w:val="006C77EC"/>
    <w:rsid w:val="006C78C0"/>
    <w:rsid w:val="006D0424"/>
    <w:rsid w:val="006D0A87"/>
    <w:rsid w:val="006D1141"/>
    <w:rsid w:val="006D18CD"/>
    <w:rsid w:val="006D1DA4"/>
    <w:rsid w:val="006D201A"/>
    <w:rsid w:val="006D2235"/>
    <w:rsid w:val="006D2502"/>
    <w:rsid w:val="006D269A"/>
    <w:rsid w:val="006D28CC"/>
    <w:rsid w:val="006D2A06"/>
    <w:rsid w:val="006D2A57"/>
    <w:rsid w:val="006D2E0E"/>
    <w:rsid w:val="006D3723"/>
    <w:rsid w:val="006D39E0"/>
    <w:rsid w:val="006D3CF6"/>
    <w:rsid w:val="006D3D14"/>
    <w:rsid w:val="006D478A"/>
    <w:rsid w:val="006D53F8"/>
    <w:rsid w:val="006D561C"/>
    <w:rsid w:val="006D5E72"/>
    <w:rsid w:val="006D684C"/>
    <w:rsid w:val="006D68B7"/>
    <w:rsid w:val="006D6985"/>
    <w:rsid w:val="006D6AA0"/>
    <w:rsid w:val="006D7355"/>
    <w:rsid w:val="006E06D1"/>
    <w:rsid w:val="006E111A"/>
    <w:rsid w:val="006E1530"/>
    <w:rsid w:val="006E1D85"/>
    <w:rsid w:val="006E22E8"/>
    <w:rsid w:val="006E290A"/>
    <w:rsid w:val="006E29B1"/>
    <w:rsid w:val="006E2C33"/>
    <w:rsid w:val="006E3336"/>
    <w:rsid w:val="006E3417"/>
    <w:rsid w:val="006E36AB"/>
    <w:rsid w:val="006E3C18"/>
    <w:rsid w:val="006E3E57"/>
    <w:rsid w:val="006E44BA"/>
    <w:rsid w:val="006E4A6C"/>
    <w:rsid w:val="006E4DD3"/>
    <w:rsid w:val="006E5278"/>
    <w:rsid w:val="006E58C3"/>
    <w:rsid w:val="006E5BF4"/>
    <w:rsid w:val="006E5D1B"/>
    <w:rsid w:val="006E63AB"/>
    <w:rsid w:val="006E666B"/>
    <w:rsid w:val="006E6E0C"/>
    <w:rsid w:val="006E745B"/>
    <w:rsid w:val="006E7687"/>
    <w:rsid w:val="006E77E4"/>
    <w:rsid w:val="006E78AB"/>
    <w:rsid w:val="006E78F9"/>
    <w:rsid w:val="006F00CF"/>
    <w:rsid w:val="006F07F8"/>
    <w:rsid w:val="006F0CB2"/>
    <w:rsid w:val="006F0DA1"/>
    <w:rsid w:val="006F21EC"/>
    <w:rsid w:val="006F2A37"/>
    <w:rsid w:val="006F2A96"/>
    <w:rsid w:val="006F2B52"/>
    <w:rsid w:val="006F2CB2"/>
    <w:rsid w:val="006F2DB9"/>
    <w:rsid w:val="006F334D"/>
    <w:rsid w:val="006F38B5"/>
    <w:rsid w:val="006F3F41"/>
    <w:rsid w:val="006F42EF"/>
    <w:rsid w:val="006F49C8"/>
    <w:rsid w:val="006F4E68"/>
    <w:rsid w:val="006F58E4"/>
    <w:rsid w:val="006F5FB7"/>
    <w:rsid w:val="006F60F3"/>
    <w:rsid w:val="006F6286"/>
    <w:rsid w:val="006F705D"/>
    <w:rsid w:val="006F73F2"/>
    <w:rsid w:val="006F7FCF"/>
    <w:rsid w:val="007000B4"/>
    <w:rsid w:val="00700497"/>
    <w:rsid w:val="00700A33"/>
    <w:rsid w:val="00700AF3"/>
    <w:rsid w:val="007016BA"/>
    <w:rsid w:val="00701B23"/>
    <w:rsid w:val="00701FA5"/>
    <w:rsid w:val="00701FDB"/>
    <w:rsid w:val="0070230D"/>
    <w:rsid w:val="0070283E"/>
    <w:rsid w:val="007034E0"/>
    <w:rsid w:val="00703C71"/>
    <w:rsid w:val="00703CC6"/>
    <w:rsid w:val="00703E06"/>
    <w:rsid w:val="007047F6"/>
    <w:rsid w:val="007048DD"/>
    <w:rsid w:val="00704B5C"/>
    <w:rsid w:val="00705162"/>
    <w:rsid w:val="00705209"/>
    <w:rsid w:val="00705582"/>
    <w:rsid w:val="007058D8"/>
    <w:rsid w:val="007059EC"/>
    <w:rsid w:val="00705ECB"/>
    <w:rsid w:val="007066F9"/>
    <w:rsid w:val="0070695F"/>
    <w:rsid w:val="00706A77"/>
    <w:rsid w:val="00706F71"/>
    <w:rsid w:val="00706FD5"/>
    <w:rsid w:val="0070743C"/>
    <w:rsid w:val="00707DC4"/>
    <w:rsid w:val="0071045F"/>
    <w:rsid w:val="0071077B"/>
    <w:rsid w:val="007115A6"/>
    <w:rsid w:val="00711912"/>
    <w:rsid w:val="00711BB3"/>
    <w:rsid w:val="00711DF9"/>
    <w:rsid w:val="0071223C"/>
    <w:rsid w:val="0071274A"/>
    <w:rsid w:val="00712AE4"/>
    <w:rsid w:val="00713491"/>
    <w:rsid w:val="0071391E"/>
    <w:rsid w:val="007139C4"/>
    <w:rsid w:val="007139EA"/>
    <w:rsid w:val="00714445"/>
    <w:rsid w:val="00715383"/>
    <w:rsid w:val="00715854"/>
    <w:rsid w:val="00715F35"/>
    <w:rsid w:val="0071640D"/>
    <w:rsid w:val="0071649B"/>
    <w:rsid w:val="00716C80"/>
    <w:rsid w:val="007176AF"/>
    <w:rsid w:val="00717837"/>
    <w:rsid w:val="00717878"/>
    <w:rsid w:val="00717A5F"/>
    <w:rsid w:val="00717D37"/>
    <w:rsid w:val="00720147"/>
    <w:rsid w:val="00720330"/>
    <w:rsid w:val="0072043F"/>
    <w:rsid w:val="00720DA8"/>
    <w:rsid w:val="0072127D"/>
    <w:rsid w:val="0072199A"/>
    <w:rsid w:val="00721DF1"/>
    <w:rsid w:val="00721EED"/>
    <w:rsid w:val="00722186"/>
    <w:rsid w:val="0072227A"/>
    <w:rsid w:val="007222AD"/>
    <w:rsid w:val="00722680"/>
    <w:rsid w:val="00722DA4"/>
    <w:rsid w:val="007236A0"/>
    <w:rsid w:val="00723734"/>
    <w:rsid w:val="00723856"/>
    <w:rsid w:val="00723CB4"/>
    <w:rsid w:val="007240A2"/>
    <w:rsid w:val="0072426E"/>
    <w:rsid w:val="007243C0"/>
    <w:rsid w:val="00724560"/>
    <w:rsid w:val="00724B96"/>
    <w:rsid w:val="00724C75"/>
    <w:rsid w:val="00724D8A"/>
    <w:rsid w:val="00724E95"/>
    <w:rsid w:val="0072558B"/>
    <w:rsid w:val="007259D5"/>
    <w:rsid w:val="00725AD1"/>
    <w:rsid w:val="007261CA"/>
    <w:rsid w:val="0072697C"/>
    <w:rsid w:val="00726B20"/>
    <w:rsid w:val="00726D4F"/>
    <w:rsid w:val="00727280"/>
    <w:rsid w:val="0072758B"/>
    <w:rsid w:val="007278B2"/>
    <w:rsid w:val="0073049E"/>
    <w:rsid w:val="0073092D"/>
    <w:rsid w:val="00730B50"/>
    <w:rsid w:val="00731026"/>
    <w:rsid w:val="007310FE"/>
    <w:rsid w:val="00731B7B"/>
    <w:rsid w:val="00731C89"/>
    <w:rsid w:val="007328E0"/>
    <w:rsid w:val="007328F4"/>
    <w:rsid w:val="00732C84"/>
    <w:rsid w:val="007330AA"/>
    <w:rsid w:val="007336DC"/>
    <w:rsid w:val="00733FC7"/>
    <w:rsid w:val="00734650"/>
    <w:rsid w:val="007346E5"/>
    <w:rsid w:val="00734A43"/>
    <w:rsid w:val="0073589D"/>
    <w:rsid w:val="007359C3"/>
    <w:rsid w:val="00735FB9"/>
    <w:rsid w:val="00735FC2"/>
    <w:rsid w:val="007364E2"/>
    <w:rsid w:val="007375C6"/>
    <w:rsid w:val="00737926"/>
    <w:rsid w:val="00737A42"/>
    <w:rsid w:val="00737BF5"/>
    <w:rsid w:val="007407B6"/>
    <w:rsid w:val="00740AAB"/>
    <w:rsid w:val="00740C9E"/>
    <w:rsid w:val="00741A16"/>
    <w:rsid w:val="00742522"/>
    <w:rsid w:val="007426FD"/>
    <w:rsid w:val="0074275F"/>
    <w:rsid w:val="007429E8"/>
    <w:rsid w:val="00742E37"/>
    <w:rsid w:val="00742F81"/>
    <w:rsid w:val="007430DA"/>
    <w:rsid w:val="00743627"/>
    <w:rsid w:val="00743869"/>
    <w:rsid w:val="00743FC3"/>
    <w:rsid w:val="007442E6"/>
    <w:rsid w:val="00744403"/>
    <w:rsid w:val="007445BD"/>
    <w:rsid w:val="00744707"/>
    <w:rsid w:val="007450D4"/>
    <w:rsid w:val="00746EA6"/>
    <w:rsid w:val="00746FD6"/>
    <w:rsid w:val="00747B13"/>
    <w:rsid w:val="00750039"/>
    <w:rsid w:val="007502A3"/>
    <w:rsid w:val="00750769"/>
    <w:rsid w:val="00750C90"/>
    <w:rsid w:val="00751407"/>
    <w:rsid w:val="007517A1"/>
    <w:rsid w:val="007517BD"/>
    <w:rsid w:val="007520C1"/>
    <w:rsid w:val="007521D8"/>
    <w:rsid w:val="00752754"/>
    <w:rsid w:val="007528C1"/>
    <w:rsid w:val="00752914"/>
    <w:rsid w:val="00752C3F"/>
    <w:rsid w:val="00753003"/>
    <w:rsid w:val="00753AC4"/>
    <w:rsid w:val="007544C7"/>
    <w:rsid w:val="00754741"/>
    <w:rsid w:val="007548B1"/>
    <w:rsid w:val="00754B30"/>
    <w:rsid w:val="00755095"/>
    <w:rsid w:val="00755312"/>
    <w:rsid w:val="00755CD3"/>
    <w:rsid w:val="00755F32"/>
    <w:rsid w:val="0075608E"/>
    <w:rsid w:val="007564B3"/>
    <w:rsid w:val="0075668F"/>
    <w:rsid w:val="00756F0D"/>
    <w:rsid w:val="007574E4"/>
    <w:rsid w:val="00760EA8"/>
    <w:rsid w:val="007611F3"/>
    <w:rsid w:val="0076147C"/>
    <w:rsid w:val="007614E1"/>
    <w:rsid w:val="00761B99"/>
    <w:rsid w:val="00761D69"/>
    <w:rsid w:val="00761F4D"/>
    <w:rsid w:val="00762364"/>
    <w:rsid w:val="00762489"/>
    <w:rsid w:val="0076270C"/>
    <w:rsid w:val="007627EB"/>
    <w:rsid w:val="00762822"/>
    <w:rsid w:val="007628F5"/>
    <w:rsid w:val="00762E15"/>
    <w:rsid w:val="007631B0"/>
    <w:rsid w:val="007631F5"/>
    <w:rsid w:val="007633D6"/>
    <w:rsid w:val="00763457"/>
    <w:rsid w:val="00764320"/>
    <w:rsid w:val="00764634"/>
    <w:rsid w:val="0076470B"/>
    <w:rsid w:val="007653DB"/>
    <w:rsid w:val="0076558C"/>
    <w:rsid w:val="00765CC4"/>
    <w:rsid w:val="00765D09"/>
    <w:rsid w:val="00766594"/>
    <w:rsid w:val="00766A81"/>
    <w:rsid w:val="00766F7A"/>
    <w:rsid w:val="007676EC"/>
    <w:rsid w:val="00767749"/>
    <w:rsid w:val="00767A4A"/>
    <w:rsid w:val="00767A8D"/>
    <w:rsid w:val="00767F3B"/>
    <w:rsid w:val="00767F8E"/>
    <w:rsid w:val="007703B4"/>
    <w:rsid w:val="007703B6"/>
    <w:rsid w:val="007706E5"/>
    <w:rsid w:val="007708A5"/>
    <w:rsid w:val="00770F5C"/>
    <w:rsid w:val="00770F8B"/>
    <w:rsid w:val="00771232"/>
    <w:rsid w:val="00771387"/>
    <w:rsid w:val="007713B4"/>
    <w:rsid w:val="00771414"/>
    <w:rsid w:val="00771743"/>
    <w:rsid w:val="0077174E"/>
    <w:rsid w:val="00771877"/>
    <w:rsid w:val="00771B0D"/>
    <w:rsid w:val="007723F0"/>
    <w:rsid w:val="007727E6"/>
    <w:rsid w:val="00772997"/>
    <w:rsid w:val="00772D2A"/>
    <w:rsid w:val="007738DD"/>
    <w:rsid w:val="0077399D"/>
    <w:rsid w:val="00773D6B"/>
    <w:rsid w:val="00773E12"/>
    <w:rsid w:val="00774057"/>
    <w:rsid w:val="0077407C"/>
    <w:rsid w:val="0077411A"/>
    <w:rsid w:val="00774CE9"/>
    <w:rsid w:val="007755DD"/>
    <w:rsid w:val="00775B26"/>
    <w:rsid w:val="00775B39"/>
    <w:rsid w:val="0077602E"/>
    <w:rsid w:val="007760FE"/>
    <w:rsid w:val="00776709"/>
    <w:rsid w:val="00776C28"/>
    <w:rsid w:val="00776D3A"/>
    <w:rsid w:val="007770AE"/>
    <w:rsid w:val="007775E5"/>
    <w:rsid w:val="00777992"/>
    <w:rsid w:val="00777A9B"/>
    <w:rsid w:val="00777C5A"/>
    <w:rsid w:val="00777D98"/>
    <w:rsid w:val="00780618"/>
    <w:rsid w:val="00780625"/>
    <w:rsid w:val="00780834"/>
    <w:rsid w:val="00780B7D"/>
    <w:rsid w:val="00780D6D"/>
    <w:rsid w:val="00780D7D"/>
    <w:rsid w:val="00780D87"/>
    <w:rsid w:val="00780F3A"/>
    <w:rsid w:val="0078188D"/>
    <w:rsid w:val="00781F17"/>
    <w:rsid w:val="00782457"/>
    <w:rsid w:val="007829C4"/>
    <w:rsid w:val="00782B15"/>
    <w:rsid w:val="007838FE"/>
    <w:rsid w:val="00783D10"/>
    <w:rsid w:val="00784375"/>
    <w:rsid w:val="007856FE"/>
    <w:rsid w:val="00785A2A"/>
    <w:rsid w:val="00785E01"/>
    <w:rsid w:val="00785EB8"/>
    <w:rsid w:val="00786734"/>
    <w:rsid w:val="00786C0E"/>
    <w:rsid w:val="00786E88"/>
    <w:rsid w:val="00786ED5"/>
    <w:rsid w:val="0078761D"/>
    <w:rsid w:val="00787898"/>
    <w:rsid w:val="00787947"/>
    <w:rsid w:val="00787DAB"/>
    <w:rsid w:val="00787EE5"/>
    <w:rsid w:val="00787FC1"/>
    <w:rsid w:val="00790A36"/>
    <w:rsid w:val="00790A3F"/>
    <w:rsid w:val="00790DD2"/>
    <w:rsid w:val="00791418"/>
    <w:rsid w:val="007915DB"/>
    <w:rsid w:val="0079165A"/>
    <w:rsid w:val="00791B68"/>
    <w:rsid w:val="00791F4A"/>
    <w:rsid w:val="007922B8"/>
    <w:rsid w:val="0079254A"/>
    <w:rsid w:val="00792C42"/>
    <w:rsid w:val="00793264"/>
    <w:rsid w:val="0079365C"/>
    <w:rsid w:val="00793840"/>
    <w:rsid w:val="00794049"/>
    <w:rsid w:val="007941F6"/>
    <w:rsid w:val="0079430D"/>
    <w:rsid w:val="00794531"/>
    <w:rsid w:val="00794930"/>
    <w:rsid w:val="00796D10"/>
    <w:rsid w:val="007A01F5"/>
    <w:rsid w:val="007A020F"/>
    <w:rsid w:val="007A0397"/>
    <w:rsid w:val="007A1021"/>
    <w:rsid w:val="007A10F5"/>
    <w:rsid w:val="007A133A"/>
    <w:rsid w:val="007A1459"/>
    <w:rsid w:val="007A169C"/>
    <w:rsid w:val="007A1A6F"/>
    <w:rsid w:val="007A1D23"/>
    <w:rsid w:val="007A219C"/>
    <w:rsid w:val="007A2397"/>
    <w:rsid w:val="007A23B3"/>
    <w:rsid w:val="007A2BF9"/>
    <w:rsid w:val="007A2C59"/>
    <w:rsid w:val="007A36D9"/>
    <w:rsid w:val="007A40E7"/>
    <w:rsid w:val="007A4588"/>
    <w:rsid w:val="007A45CF"/>
    <w:rsid w:val="007A45E0"/>
    <w:rsid w:val="007A480F"/>
    <w:rsid w:val="007A487D"/>
    <w:rsid w:val="007A4940"/>
    <w:rsid w:val="007A4C5F"/>
    <w:rsid w:val="007A4CA1"/>
    <w:rsid w:val="007A4EF8"/>
    <w:rsid w:val="007A50DD"/>
    <w:rsid w:val="007A5349"/>
    <w:rsid w:val="007A5CE2"/>
    <w:rsid w:val="007A5FD5"/>
    <w:rsid w:val="007A6301"/>
    <w:rsid w:val="007A642D"/>
    <w:rsid w:val="007A66F9"/>
    <w:rsid w:val="007A67C3"/>
    <w:rsid w:val="007A684B"/>
    <w:rsid w:val="007A6999"/>
    <w:rsid w:val="007A6B83"/>
    <w:rsid w:val="007A7136"/>
    <w:rsid w:val="007A7198"/>
    <w:rsid w:val="007A765F"/>
    <w:rsid w:val="007A76C6"/>
    <w:rsid w:val="007A7891"/>
    <w:rsid w:val="007A7906"/>
    <w:rsid w:val="007A79B0"/>
    <w:rsid w:val="007A7DAF"/>
    <w:rsid w:val="007A7EF6"/>
    <w:rsid w:val="007B00DB"/>
    <w:rsid w:val="007B061E"/>
    <w:rsid w:val="007B095F"/>
    <w:rsid w:val="007B0976"/>
    <w:rsid w:val="007B0C87"/>
    <w:rsid w:val="007B0DCE"/>
    <w:rsid w:val="007B1126"/>
    <w:rsid w:val="007B1140"/>
    <w:rsid w:val="007B1178"/>
    <w:rsid w:val="007B1438"/>
    <w:rsid w:val="007B1899"/>
    <w:rsid w:val="007B1915"/>
    <w:rsid w:val="007B1A2D"/>
    <w:rsid w:val="007B23D5"/>
    <w:rsid w:val="007B3033"/>
    <w:rsid w:val="007B33BF"/>
    <w:rsid w:val="007B36B6"/>
    <w:rsid w:val="007B3966"/>
    <w:rsid w:val="007B3DDF"/>
    <w:rsid w:val="007B45EC"/>
    <w:rsid w:val="007B5518"/>
    <w:rsid w:val="007B634E"/>
    <w:rsid w:val="007B66CF"/>
    <w:rsid w:val="007B66DC"/>
    <w:rsid w:val="007B6AFB"/>
    <w:rsid w:val="007B6ECB"/>
    <w:rsid w:val="007C0C1D"/>
    <w:rsid w:val="007C1280"/>
    <w:rsid w:val="007C13EC"/>
    <w:rsid w:val="007C15D9"/>
    <w:rsid w:val="007C1986"/>
    <w:rsid w:val="007C1E20"/>
    <w:rsid w:val="007C2735"/>
    <w:rsid w:val="007C2848"/>
    <w:rsid w:val="007C2A1A"/>
    <w:rsid w:val="007C2D58"/>
    <w:rsid w:val="007C354C"/>
    <w:rsid w:val="007C363D"/>
    <w:rsid w:val="007C3677"/>
    <w:rsid w:val="007C37B3"/>
    <w:rsid w:val="007C3FC7"/>
    <w:rsid w:val="007C43EA"/>
    <w:rsid w:val="007C4856"/>
    <w:rsid w:val="007C4C3E"/>
    <w:rsid w:val="007C58CB"/>
    <w:rsid w:val="007C5C75"/>
    <w:rsid w:val="007C631E"/>
    <w:rsid w:val="007C6C2C"/>
    <w:rsid w:val="007C6C96"/>
    <w:rsid w:val="007C6D77"/>
    <w:rsid w:val="007C6F72"/>
    <w:rsid w:val="007C733B"/>
    <w:rsid w:val="007C7512"/>
    <w:rsid w:val="007D0872"/>
    <w:rsid w:val="007D0C6D"/>
    <w:rsid w:val="007D1351"/>
    <w:rsid w:val="007D15DF"/>
    <w:rsid w:val="007D1659"/>
    <w:rsid w:val="007D1FC8"/>
    <w:rsid w:val="007D246C"/>
    <w:rsid w:val="007D2E7D"/>
    <w:rsid w:val="007D3246"/>
    <w:rsid w:val="007D3710"/>
    <w:rsid w:val="007D3930"/>
    <w:rsid w:val="007D3B9A"/>
    <w:rsid w:val="007D4170"/>
    <w:rsid w:val="007D41BA"/>
    <w:rsid w:val="007D4A5D"/>
    <w:rsid w:val="007D4BE5"/>
    <w:rsid w:val="007D4D7D"/>
    <w:rsid w:val="007D4E4D"/>
    <w:rsid w:val="007D4EB6"/>
    <w:rsid w:val="007D5295"/>
    <w:rsid w:val="007D5C07"/>
    <w:rsid w:val="007D5F6C"/>
    <w:rsid w:val="007D5FC4"/>
    <w:rsid w:val="007D6927"/>
    <w:rsid w:val="007D6EB9"/>
    <w:rsid w:val="007D7D58"/>
    <w:rsid w:val="007D7DCE"/>
    <w:rsid w:val="007E012A"/>
    <w:rsid w:val="007E10AC"/>
    <w:rsid w:val="007E1B84"/>
    <w:rsid w:val="007E2AE9"/>
    <w:rsid w:val="007E316F"/>
    <w:rsid w:val="007E3BAB"/>
    <w:rsid w:val="007E3DDF"/>
    <w:rsid w:val="007E50A5"/>
    <w:rsid w:val="007E5192"/>
    <w:rsid w:val="007E5D7C"/>
    <w:rsid w:val="007E5FA5"/>
    <w:rsid w:val="007E6601"/>
    <w:rsid w:val="007E7105"/>
    <w:rsid w:val="007E712B"/>
    <w:rsid w:val="007E74A0"/>
    <w:rsid w:val="007E7A50"/>
    <w:rsid w:val="007F002D"/>
    <w:rsid w:val="007F0639"/>
    <w:rsid w:val="007F15E0"/>
    <w:rsid w:val="007F2394"/>
    <w:rsid w:val="007F24B2"/>
    <w:rsid w:val="007F264B"/>
    <w:rsid w:val="007F27AA"/>
    <w:rsid w:val="007F2BAF"/>
    <w:rsid w:val="007F3034"/>
    <w:rsid w:val="007F35E8"/>
    <w:rsid w:val="007F3C4D"/>
    <w:rsid w:val="007F40CA"/>
    <w:rsid w:val="007F428A"/>
    <w:rsid w:val="007F44AF"/>
    <w:rsid w:val="007F4522"/>
    <w:rsid w:val="007F4605"/>
    <w:rsid w:val="007F46CC"/>
    <w:rsid w:val="007F4A51"/>
    <w:rsid w:val="007F4AE8"/>
    <w:rsid w:val="007F4C64"/>
    <w:rsid w:val="007F4E7A"/>
    <w:rsid w:val="007F4E93"/>
    <w:rsid w:val="007F4EC7"/>
    <w:rsid w:val="007F5805"/>
    <w:rsid w:val="007F59B2"/>
    <w:rsid w:val="007F5F31"/>
    <w:rsid w:val="007F5FC2"/>
    <w:rsid w:val="007F649F"/>
    <w:rsid w:val="007F6C7A"/>
    <w:rsid w:val="007F7164"/>
    <w:rsid w:val="007F774F"/>
    <w:rsid w:val="007F7FEC"/>
    <w:rsid w:val="00800FA8"/>
    <w:rsid w:val="00801E29"/>
    <w:rsid w:val="00802718"/>
    <w:rsid w:val="00803062"/>
    <w:rsid w:val="0080321C"/>
    <w:rsid w:val="00804200"/>
    <w:rsid w:val="0080490D"/>
    <w:rsid w:val="00804A84"/>
    <w:rsid w:val="00804B4C"/>
    <w:rsid w:val="00804FBC"/>
    <w:rsid w:val="00805475"/>
    <w:rsid w:val="008054A4"/>
    <w:rsid w:val="00806098"/>
    <w:rsid w:val="008060B4"/>
    <w:rsid w:val="00806870"/>
    <w:rsid w:val="00806AA0"/>
    <w:rsid w:val="00806CA7"/>
    <w:rsid w:val="00806EA9"/>
    <w:rsid w:val="00807115"/>
    <w:rsid w:val="00807846"/>
    <w:rsid w:val="0080785F"/>
    <w:rsid w:val="00807A14"/>
    <w:rsid w:val="00807C0E"/>
    <w:rsid w:val="00807FD3"/>
    <w:rsid w:val="008101F1"/>
    <w:rsid w:val="008104B5"/>
    <w:rsid w:val="00810554"/>
    <w:rsid w:val="00810BC5"/>
    <w:rsid w:val="00811F7D"/>
    <w:rsid w:val="00811FF1"/>
    <w:rsid w:val="008128EA"/>
    <w:rsid w:val="00812A20"/>
    <w:rsid w:val="00812CD1"/>
    <w:rsid w:val="00812CED"/>
    <w:rsid w:val="00812DAC"/>
    <w:rsid w:val="008130B1"/>
    <w:rsid w:val="00813CE1"/>
    <w:rsid w:val="00814E88"/>
    <w:rsid w:val="00814FC8"/>
    <w:rsid w:val="00815B1C"/>
    <w:rsid w:val="00816171"/>
    <w:rsid w:val="00816380"/>
    <w:rsid w:val="008166D9"/>
    <w:rsid w:val="008174DF"/>
    <w:rsid w:val="00817640"/>
    <w:rsid w:val="00817B3C"/>
    <w:rsid w:val="00817BD6"/>
    <w:rsid w:val="00817C8F"/>
    <w:rsid w:val="0082003E"/>
    <w:rsid w:val="008205EB"/>
    <w:rsid w:val="0082075B"/>
    <w:rsid w:val="00820B85"/>
    <w:rsid w:val="008211C3"/>
    <w:rsid w:val="00821AF8"/>
    <w:rsid w:val="00821B60"/>
    <w:rsid w:val="00821BB8"/>
    <w:rsid w:val="00821CF9"/>
    <w:rsid w:val="00821D6A"/>
    <w:rsid w:val="0082295D"/>
    <w:rsid w:val="00822CA9"/>
    <w:rsid w:val="00822D8A"/>
    <w:rsid w:val="0082344E"/>
    <w:rsid w:val="00823B98"/>
    <w:rsid w:val="00823EF9"/>
    <w:rsid w:val="00824623"/>
    <w:rsid w:val="00824CA1"/>
    <w:rsid w:val="00824CAC"/>
    <w:rsid w:val="00824D19"/>
    <w:rsid w:val="00824D38"/>
    <w:rsid w:val="00825A83"/>
    <w:rsid w:val="0082650B"/>
    <w:rsid w:val="00826681"/>
    <w:rsid w:val="008269F0"/>
    <w:rsid w:val="00826C12"/>
    <w:rsid w:val="008273F1"/>
    <w:rsid w:val="00827910"/>
    <w:rsid w:val="00827B99"/>
    <w:rsid w:val="00827FA3"/>
    <w:rsid w:val="00830376"/>
    <w:rsid w:val="0083119D"/>
    <w:rsid w:val="00831232"/>
    <w:rsid w:val="008313FF"/>
    <w:rsid w:val="0083146C"/>
    <w:rsid w:val="008319F0"/>
    <w:rsid w:val="00831CAC"/>
    <w:rsid w:val="00831DB6"/>
    <w:rsid w:val="00832256"/>
    <w:rsid w:val="00832397"/>
    <w:rsid w:val="008323B9"/>
    <w:rsid w:val="00833410"/>
    <w:rsid w:val="00834481"/>
    <w:rsid w:val="00835000"/>
    <w:rsid w:val="0083587E"/>
    <w:rsid w:val="00836451"/>
    <w:rsid w:val="00836B1D"/>
    <w:rsid w:val="00836BAB"/>
    <w:rsid w:val="00836C89"/>
    <w:rsid w:val="00836DDA"/>
    <w:rsid w:val="00837049"/>
    <w:rsid w:val="0083705F"/>
    <w:rsid w:val="008372EC"/>
    <w:rsid w:val="0083780C"/>
    <w:rsid w:val="00837BE8"/>
    <w:rsid w:val="00837C84"/>
    <w:rsid w:val="00842412"/>
    <w:rsid w:val="0084258E"/>
    <w:rsid w:val="00842D1E"/>
    <w:rsid w:val="00843A4C"/>
    <w:rsid w:val="00843B12"/>
    <w:rsid w:val="00844D40"/>
    <w:rsid w:val="00844F5F"/>
    <w:rsid w:val="008451C9"/>
    <w:rsid w:val="00846413"/>
    <w:rsid w:val="00846E47"/>
    <w:rsid w:val="008471FC"/>
    <w:rsid w:val="00847606"/>
    <w:rsid w:val="008476AB"/>
    <w:rsid w:val="008476DC"/>
    <w:rsid w:val="0084782B"/>
    <w:rsid w:val="00847CC0"/>
    <w:rsid w:val="00847D7C"/>
    <w:rsid w:val="00850244"/>
    <w:rsid w:val="008504DF"/>
    <w:rsid w:val="00850AFD"/>
    <w:rsid w:val="00850BF5"/>
    <w:rsid w:val="00851099"/>
    <w:rsid w:val="00852555"/>
    <w:rsid w:val="00852CBA"/>
    <w:rsid w:val="0085309B"/>
    <w:rsid w:val="008530BE"/>
    <w:rsid w:val="008531B7"/>
    <w:rsid w:val="0085347E"/>
    <w:rsid w:val="00853A93"/>
    <w:rsid w:val="00853DEB"/>
    <w:rsid w:val="00854007"/>
    <w:rsid w:val="008543D7"/>
    <w:rsid w:val="00854580"/>
    <w:rsid w:val="0085487B"/>
    <w:rsid w:val="00854F6A"/>
    <w:rsid w:val="00855F3A"/>
    <w:rsid w:val="0085665A"/>
    <w:rsid w:val="0085674A"/>
    <w:rsid w:val="008567D5"/>
    <w:rsid w:val="00856B4A"/>
    <w:rsid w:val="00856BFA"/>
    <w:rsid w:val="00856F01"/>
    <w:rsid w:val="00857759"/>
    <w:rsid w:val="00860128"/>
    <w:rsid w:val="008606FC"/>
    <w:rsid w:val="0086093F"/>
    <w:rsid w:val="0086101E"/>
    <w:rsid w:val="00861844"/>
    <w:rsid w:val="00861DD0"/>
    <w:rsid w:val="00861FBE"/>
    <w:rsid w:val="008620A5"/>
    <w:rsid w:val="0086257C"/>
    <w:rsid w:val="00862A2C"/>
    <w:rsid w:val="00862DE2"/>
    <w:rsid w:val="0086313C"/>
    <w:rsid w:val="0086333E"/>
    <w:rsid w:val="00863372"/>
    <w:rsid w:val="00863A37"/>
    <w:rsid w:val="00863B35"/>
    <w:rsid w:val="00863E8E"/>
    <w:rsid w:val="00864567"/>
    <w:rsid w:val="008647A6"/>
    <w:rsid w:val="00865193"/>
    <w:rsid w:val="00865A37"/>
    <w:rsid w:val="00865A95"/>
    <w:rsid w:val="00865AF1"/>
    <w:rsid w:val="00865AF6"/>
    <w:rsid w:val="00866301"/>
    <w:rsid w:val="008665E3"/>
    <w:rsid w:val="00866E7B"/>
    <w:rsid w:val="00867260"/>
    <w:rsid w:val="00867450"/>
    <w:rsid w:val="00867AE1"/>
    <w:rsid w:val="00867CCD"/>
    <w:rsid w:val="0087027B"/>
    <w:rsid w:val="00870755"/>
    <w:rsid w:val="00871C6B"/>
    <w:rsid w:val="008724E3"/>
    <w:rsid w:val="00872653"/>
    <w:rsid w:val="008726A9"/>
    <w:rsid w:val="00872D97"/>
    <w:rsid w:val="00872DC9"/>
    <w:rsid w:val="00872DDE"/>
    <w:rsid w:val="00872F5D"/>
    <w:rsid w:val="00873506"/>
    <w:rsid w:val="00873DAC"/>
    <w:rsid w:val="00874552"/>
    <w:rsid w:val="008749CC"/>
    <w:rsid w:val="00874CD0"/>
    <w:rsid w:val="00875223"/>
    <w:rsid w:val="00875872"/>
    <w:rsid w:val="00875E02"/>
    <w:rsid w:val="00876454"/>
    <w:rsid w:val="00876BD0"/>
    <w:rsid w:val="00876F7A"/>
    <w:rsid w:val="00877327"/>
    <w:rsid w:val="00877442"/>
    <w:rsid w:val="0087790A"/>
    <w:rsid w:val="00877A47"/>
    <w:rsid w:val="00877A48"/>
    <w:rsid w:val="00877AA0"/>
    <w:rsid w:val="00881803"/>
    <w:rsid w:val="00882ACE"/>
    <w:rsid w:val="00883EBF"/>
    <w:rsid w:val="00884185"/>
    <w:rsid w:val="008846D4"/>
    <w:rsid w:val="008847F4"/>
    <w:rsid w:val="00884B4D"/>
    <w:rsid w:val="00884D81"/>
    <w:rsid w:val="00884FAF"/>
    <w:rsid w:val="008853B4"/>
    <w:rsid w:val="0088575D"/>
    <w:rsid w:val="008860FA"/>
    <w:rsid w:val="00886766"/>
    <w:rsid w:val="00887053"/>
    <w:rsid w:val="00887997"/>
    <w:rsid w:val="00887C5F"/>
    <w:rsid w:val="00887E8C"/>
    <w:rsid w:val="0089017D"/>
    <w:rsid w:val="0089030F"/>
    <w:rsid w:val="00890C79"/>
    <w:rsid w:val="008911C9"/>
    <w:rsid w:val="00891B21"/>
    <w:rsid w:val="00892303"/>
    <w:rsid w:val="00892485"/>
    <w:rsid w:val="008924D7"/>
    <w:rsid w:val="00892756"/>
    <w:rsid w:val="008929B6"/>
    <w:rsid w:val="00893986"/>
    <w:rsid w:val="00894525"/>
    <w:rsid w:val="00894662"/>
    <w:rsid w:val="00894785"/>
    <w:rsid w:val="008948A3"/>
    <w:rsid w:val="008949D6"/>
    <w:rsid w:val="00894ABE"/>
    <w:rsid w:val="008950AF"/>
    <w:rsid w:val="008956C1"/>
    <w:rsid w:val="00895863"/>
    <w:rsid w:val="00895D22"/>
    <w:rsid w:val="00895EF5"/>
    <w:rsid w:val="00896214"/>
    <w:rsid w:val="00896BFC"/>
    <w:rsid w:val="00896E68"/>
    <w:rsid w:val="008974D5"/>
    <w:rsid w:val="0089781E"/>
    <w:rsid w:val="00897F58"/>
    <w:rsid w:val="008A010D"/>
    <w:rsid w:val="008A05A2"/>
    <w:rsid w:val="008A08DD"/>
    <w:rsid w:val="008A1D70"/>
    <w:rsid w:val="008A1E8B"/>
    <w:rsid w:val="008A1EBA"/>
    <w:rsid w:val="008A2208"/>
    <w:rsid w:val="008A2281"/>
    <w:rsid w:val="008A2821"/>
    <w:rsid w:val="008A2C26"/>
    <w:rsid w:val="008A2E1B"/>
    <w:rsid w:val="008A336F"/>
    <w:rsid w:val="008A3868"/>
    <w:rsid w:val="008A39FD"/>
    <w:rsid w:val="008A3E23"/>
    <w:rsid w:val="008A42F3"/>
    <w:rsid w:val="008A439B"/>
    <w:rsid w:val="008A4515"/>
    <w:rsid w:val="008A557B"/>
    <w:rsid w:val="008A56BA"/>
    <w:rsid w:val="008A5A2F"/>
    <w:rsid w:val="008A6341"/>
    <w:rsid w:val="008A6AA0"/>
    <w:rsid w:val="008A73EE"/>
    <w:rsid w:val="008A75EF"/>
    <w:rsid w:val="008A76C6"/>
    <w:rsid w:val="008B0846"/>
    <w:rsid w:val="008B0A2E"/>
    <w:rsid w:val="008B0B2D"/>
    <w:rsid w:val="008B10FB"/>
    <w:rsid w:val="008B16A5"/>
    <w:rsid w:val="008B1BE5"/>
    <w:rsid w:val="008B212F"/>
    <w:rsid w:val="008B2141"/>
    <w:rsid w:val="008B2147"/>
    <w:rsid w:val="008B2BB0"/>
    <w:rsid w:val="008B339C"/>
    <w:rsid w:val="008B4AAE"/>
    <w:rsid w:val="008B4CA5"/>
    <w:rsid w:val="008B507A"/>
    <w:rsid w:val="008B52D1"/>
    <w:rsid w:val="008B58B6"/>
    <w:rsid w:val="008B65B3"/>
    <w:rsid w:val="008B67CE"/>
    <w:rsid w:val="008B7AD0"/>
    <w:rsid w:val="008B7D46"/>
    <w:rsid w:val="008B7F0B"/>
    <w:rsid w:val="008C07E9"/>
    <w:rsid w:val="008C0A59"/>
    <w:rsid w:val="008C0F5C"/>
    <w:rsid w:val="008C108B"/>
    <w:rsid w:val="008C1535"/>
    <w:rsid w:val="008C1E0E"/>
    <w:rsid w:val="008C2056"/>
    <w:rsid w:val="008C2BEC"/>
    <w:rsid w:val="008C2C72"/>
    <w:rsid w:val="008C31B7"/>
    <w:rsid w:val="008C36D0"/>
    <w:rsid w:val="008C37FD"/>
    <w:rsid w:val="008C3997"/>
    <w:rsid w:val="008C39CA"/>
    <w:rsid w:val="008C3EA3"/>
    <w:rsid w:val="008C464B"/>
    <w:rsid w:val="008C468A"/>
    <w:rsid w:val="008C477B"/>
    <w:rsid w:val="008C497B"/>
    <w:rsid w:val="008C5909"/>
    <w:rsid w:val="008C59E7"/>
    <w:rsid w:val="008C6029"/>
    <w:rsid w:val="008C757F"/>
    <w:rsid w:val="008C7A13"/>
    <w:rsid w:val="008D07BA"/>
    <w:rsid w:val="008D0E37"/>
    <w:rsid w:val="008D1017"/>
    <w:rsid w:val="008D12D2"/>
    <w:rsid w:val="008D201D"/>
    <w:rsid w:val="008D26E4"/>
    <w:rsid w:val="008D2CD2"/>
    <w:rsid w:val="008D3B4B"/>
    <w:rsid w:val="008D3CB8"/>
    <w:rsid w:val="008D4D41"/>
    <w:rsid w:val="008D5556"/>
    <w:rsid w:val="008D589C"/>
    <w:rsid w:val="008D5B70"/>
    <w:rsid w:val="008D5D4F"/>
    <w:rsid w:val="008D5F6A"/>
    <w:rsid w:val="008D604C"/>
    <w:rsid w:val="008D6105"/>
    <w:rsid w:val="008D68B8"/>
    <w:rsid w:val="008D6B78"/>
    <w:rsid w:val="008D6D3C"/>
    <w:rsid w:val="008D75EA"/>
    <w:rsid w:val="008D784D"/>
    <w:rsid w:val="008D7EE1"/>
    <w:rsid w:val="008E0522"/>
    <w:rsid w:val="008E0E02"/>
    <w:rsid w:val="008E0F3C"/>
    <w:rsid w:val="008E10AD"/>
    <w:rsid w:val="008E12C6"/>
    <w:rsid w:val="008E1A4F"/>
    <w:rsid w:val="008E1E16"/>
    <w:rsid w:val="008E23D3"/>
    <w:rsid w:val="008E2546"/>
    <w:rsid w:val="008E2637"/>
    <w:rsid w:val="008E29DC"/>
    <w:rsid w:val="008E2BD5"/>
    <w:rsid w:val="008E37BB"/>
    <w:rsid w:val="008E3E23"/>
    <w:rsid w:val="008E4615"/>
    <w:rsid w:val="008E484D"/>
    <w:rsid w:val="008E4B93"/>
    <w:rsid w:val="008E4BE1"/>
    <w:rsid w:val="008E4F31"/>
    <w:rsid w:val="008E4FC0"/>
    <w:rsid w:val="008E5282"/>
    <w:rsid w:val="008E6617"/>
    <w:rsid w:val="008E66B5"/>
    <w:rsid w:val="008E6A0C"/>
    <w:rsid w:val="008E6F2E"/>
    <w:rsid w:val="008E7CF7"/>
    <w:rsid w:val="008E7DCE"/>
    <w:rsid w:val="008F073D"/>
    <w:rsid w:val="008F087E"/>
    <w:rsid w:val="008F0B78"/>
    <w:rsid w:val="008F0C20"/>
    <w:rsid w:val="008F0DF1"/>
    <w:rsid w:val="008F0E52"/>
    <w:rsid w:val="008F1699"/>
    <w:rsid w:val="008F1709"/>
    <w:rsid w:val="008F19A4"/>
    <w:rsid w:val="008F1CBA"/>
    <w:rsid w:val="008F1FE4"/>
    <w:rsid w:val="008F2543"/>
    <w:rsid w:val="008F2BB8"/>
    <w:rsid w:val="008F2C33"/>
    <w:rsid w:val="008F314C"/>
    <w:rsid w:val="008F3718"/>
    <w:rsid w:val="008F375C"/>
    <w:rsid w:val="008F39BC"/>
    <w:rsid w:val="008F3C46"/>
    <w:rsid w:val="008F3EF7"/>
    <w:rsid w:val="008F44DC"/>
    <w:rsid w:val="008F46F8"/>
    <w:rsid w:val="008F49F4"/>
    <w:rsid w:val="008F4C08"/>
    <w:rsid w:val="008F4CD1"/>
    <w:rsid w:val="008F4D5A"/>
    <w:rsid w:val="008F514E"/>
    <w:rsid w:val="008F52D3"/>
    <w:rsid w:val="008F544B"/>
    <w:rsid w:val="008F56A4"/>
    <w:rsid w:val="008F57D5"/>
    <w:rsid w:val="008F6092"/>
    <w:rsid w:val="008F6329"/>
    <w:rsid w:val="008F6496"/>
    <w:rsid w:val="008F6929"/>
    <w:rsid w:val="008F6FAF"/>
    <w:rsid w:val="008F75AC"/>
    <w:rsid w:val="008F75F7"/>
    <w:rsid w:val="008F7A10"/>
    <w:rsid w:val="008F7F9A"/>
    <w:rsid w:val="00900DF8"/>
    <w:rsid w:val="009010EF"/>
    <w:rsid w:val="009013FD"/>
    <w:rsid w:val="009016BF"/>
    <w:rsid w:val="0090173B"/>
    <w:rsid w:val="00901CDF"/>
    <w:rsid w:val="00902269"/>
    <w:rsid w:val="009025C7"/>
    <w:rsid w:val="00902A03"/>
    <w:rsid w:val="00902A04"/>
    <w:rsid w:val="009031DD"/>
    <w:rsid w:val="00903ADC"/>
    <w:rsid w:val="00903E6B"/>
    <w:rsid w:val="009048E4"/>
    <w:rsid w:val="0090551D"/>
    <w:rsid w:val="00905757"/>
    <w:rsid w:val="00905DCC"/>
    <w:rsid w:val="00905F73"/>
    <w:rsid w:val="00906CA5"/>
    <w:rsid w:val="00907306"/>
    <w:rsid w:val="00907594"/>
    <w:rsid w:val="00907B9E"/>
    <w:rsid w:val="00907CBB"/>
    <w:rsid w:val="00907CBC"/>
    <w:rsid w:val="009106AA"/>
    <w:rsid w:val="009109D3"/>
    <w:rsid w:val="00910C8C"/>
    <w:rsid w:val="009118F3"/>
    <w:rsid w:val="00911B3C"/>
    <w:rsid w:val="00911D93"/>
    <w:rsid w:val="00911EB1"/>
    <w:rsid w:val="00912143"/>
    <w:rsid w:val="00912208"/>
    <w:rsid w:val="00912CEE"/>
    <w:rsid w:val="00914054"/>
    <w:rsid w:val="009142C0"/>
    <w:rsid w:val="009143E0"/>
    <w:rsid w:val="0091472A"/>
    <w:rsid w:val="00914D6C"/>
    <w:rsid w:val="009157FC"/>
    <w:rsid w:val="00916576"/>
    <w:rsid w:val="0091669B"/>
    <w:rsid w:val="00916E1A"/>
    <w:rsid w:val="00916ED0"/>
    <w:rsid w:val="00917348"/>
    <w:rsid w:val="009173DA"/>
    <w:rsid w:val="00917544"/>
    <w:rsid w:val="00917FCF"/>
    <w:rsid w:val="00920704"/>
    <w:rsid w:val="0092089F"/>
    <w:rsid w:val="00921433"/>
    <w:rsid w:val="00921AA5"/>
    <w:rsid w:val="00921EE2"/>
    <w:rsid w:val="00922494"/>
    <w:rsid w:val="00922ADE"/>
    <w:rsid w:val="00922EA0"/>
    <w:rsid w:val="00923593"/>
    <w:rsid w:val="009236A8"/>
    <w:rsid w:val="0092455B"/>
    <w:rsid w:val="00924E12"/>
    <w:rsid w:val="00924F1D"/>
    <w:rsid w:val="0092534B"/>
    <w:rsid w:val="0092595C"/>
    <w:rsid w:val="00925D3D"/>
    <w:rsid w:val="00925DD8"/>
    <w:rsid w:val="009275A0"/>
    <w:rsid w:val="00927B89"/>
    <w:rsid w:val="00927B9B"/>
    <w:rsid w:val="00927FA5"/>
    <w:rsid w:val="00930040"/>
    <w:rsid w:val="0093024A"/>
    <w:rsid w:val="009306FB"/>
    <w:rsid w:val="009307FE"/>
    <w:rsid w:val="009311AE"/>
    <w:rsid w:val="0093136C"/>
    <w:rsid w:val="009316BA"/>
    <w:rsid w:val="00931A04"/>
    <w:rsid w:val="00931D5C"/>
    <w:rsid w:val="009326D9"/>
    <w:rsid w:val="00932997"/>
    <w:rsid w:val="00932C4F"/>
    <w:rsid w:val="00932D03"/>
    <w:rsid w:val="00932F33"/>
    <w:rsid w:val="009333DD"/>
    <w:rsid w:val="00933787"/>
    <w:rsid w:val="00934046"/>
    <w:rsid w:val="0093408A"/>
    <w:rsid w:val="00934094"/>
    <w:rsid w:val="0093446E"/>
    <w:rsid w:val="009348AB"/>
    <w:rsid w:val="0093537C"/>
    <w:rsid w:val="00935585"/>
    <w:rsid w:val="00936625"/>
    <w:rsid w:val="009367B2"/>
    <w:rsid w:val="00936CBA"/>
    <w:rsid w:val="00936D3C"/>
    <w:rsid w:val="009373A5"/>
    <w:rsid w:val="009376F7"/>
    <w:rsid w:val="00937726"/>
    <w:rsid w:val="0093787E"/>
    <w:rsid w:val="0093792F"/>
    <w:rsid w:val="0093797C"/>
    <w:rsid w:val="00937B7E"/>
    <w:rsid w:val="00937C34"/>
    <w:rsid w:val="00937D8E"/>
    <w:rsid w:val="0094004D"/>
    <w:rsid w:val="00940206"/>
    <w:rsid w:val="00940222"/>
    <w:rsid w:val="00940CC3"/>
    <w:rsid w:val="00940D19"/>
    <w:rsid w:val="00940E6D"/>
    <w:rsid w:val="00941105"/>
    <w:rsid w:val="009411D5"/>
    <w:rsid w:val="00941467"/>
    <w:rsid w:val="0094158C"/>
    <w:rsid w:val="00941FDE"/>
    <w:rsid w:val="0094266A"/>
    <w:rsid w:val="00942804"/>
    <w:rsid w:val="00942E2F"/>
    <w:rsid w:val="00943074"/>
    <w:rsid w:val="0094346F"/>
    <w:rsid w:val="0094370C"/>
    <w:rsid w:val="00943E61"/>
    <w:rsid w:val="00943F0F"/>
    <w:rsid w:val="0094456D"/>
    <w:rsid w:val="00944F89"/>
    <w:rsid w:val="00945591"/>
    <w:rsid w:val="00945CBC"/>
    <w:rsid w:val="00945F27"/>
    <w:rsid w:val="00946011"/>
    <w:rsid w:val="0094635E"/>
    <w:rsid w:val="009471D3"/>
    <w:rsid w:val="00947701"/>
    <w:rsid w:val="0094780F"/>
    <w:rsid w:val="00950566"/>
    <w:rsid w:val="0095057B"/>
    <w:rsid w:val="0095092E"/>
    <w:rsid w:val="00950940"/>
    <w:rsid w:val="00950C4D"/>
    <w:rsid w:val="00950D14"/>
    <w:rsid w:val="009514B6"/>
    <w:rsid w:val="0095161B"/>
    <w:rsid w:val="00951AEB"/>
    <w:rsid w:val="009521C8"/>
    <w:rsid w:val="009521FD"/>
    <w:rsid w:val="009525FE"/>
    <w:rsid w:val="0095267B"/>
    <w:rsid w:val="00952CA9"/>
    <w:rsid w:val="00953ED3"/>
    <w:rsid w:val="00953FD4"/>
    <w:rsid w:val="009542B7"/>
    <w:rsid w:val="00954324"/>
    <w:rsid w:val="009544A0"/>
    <w:rsid w:val="0095458E"/>
    <w:rsid w:val="009548A8"/>
    <w:rsid w:val="00954A29"/>
    <w:rsid w:val="00954A2B"/>
    <w:rsid w:val="00954DAD"/>
    <w:rsid w:val="00955246"/>
    <w:rsid w:val="00955588"/>
    <w:rsid w:val="009556D4"/>
    <w:rsid w:val="00955977"/>
    <w:rsid w:val="00955989"/>
    <w:rsid w:val="009561E9"/>
    <w:rsid w:val="0095630F"/>
    <w:rsid w:val="00956A31"/>
    <w:rsid w:val="00956EA4"/>
    <w:rsid w:val="00957137"/>
    <w:rsid w:val="0095764D"/>
    <w:rsid w:val="00957BCB"/>
    <w:rsid w:val="00957BD4"/>
    <w:rsid w:val="00957FDB"/>
    <w:rsid w:val="0096015D"/>
    <w:rsid w:val="0096034F"/>
    <w:rsid w:val="009606A2"/>
    <w:rsid w:val="00961117"/>
    <w:rsid w:val="009614E6"/>
    <w:rsid w:val="00961BAE"/>
    <w:rsid w:val="00962EB8"/>
    <w:rsid w:val="009639B5"/>
    <w:rsid w:val="00963A65"/>
    <w:rsid w:val="00963BBA"/>
    <w:rsid w:val="00963C41"/>
    <w:rsid w:val="00963E3F"/>
    <w:rsid w:val="0096445B"/>
    <w:rsid w:val="00964F7E"/>
    <w:rsid w:val="00965235"/>
    <w:rsid w:val="00965581"/>
    <w:rsid w:val="0096589E"/>
    <w:rsid w:val="00965B92"/>
    <w:rsid w:val="0096627B"/>
    <w:rsid w:val="00966327"/>
    <w:rsid w:val="00966543"/>
    <w:rsid w:val="009668F5"/>
    <w:rsid w:val="00966CED"/>
    <w:rsid w:val="00966E58"/>
    <w:rsid w:val="00967E73"/>
    <w:rsid w:val="00970535"/>
    <w:rsid w:val="0097071A"/>
    <w:rsid w:val="009707DD"/>
    <w:rsid w:val="00970D29"/>
    <w:rsid w:val="009711B3"/>
    <w:rsid w:val="009711D1"/>
    <w:rsid w:val="009713C9"/>
    <w:rsid w:val="00971A40"/>
    <w:rsid w:val="00971D80"/>
    <w:rsid w:val="0097280F"/>
    <w:rsid w:val="0097289A"/>
    <w:rsid w:val="00972D22"/>
    <w:rsid w:val="00973017"/>
    <w:rsid w:val="00973046"/>
    <w:rsid w:val="0097315C"/>
    <w:rsid w:val="0097346B"/>
    <w:rsid w:val="009734DE"/>
    <w:rsid w:val="009736CE"/>
    <w:rsid w:val="00973F05"/>
    <w:rsid w:val="0097417C"/>
    <w:rsid w:val="009742A3"/>
    <w:rsid w:val="00974397"/>
    <w:rsid w:val="009743E4"/>
    <w:rsid w:val="00974503"/>
    <w:rsid w:val="00974A3D"/>
    <w:rsid w:val="00974B44"/>
    <w:rsid w:val="009754A8"/>
    <w:rsid w:val="00975696"/>
    <w:rsid w:val="00976C2F"/>
    <w:rsid w:val="00976E33"/>
    <w:rsid w:val="00977487"/>
    <w:rsid w:val="00977687"/>
    <w:rsid w:val="00977960"/>
    <w:rsid w:val="00977B35"/>
    <w:rsid w:val="00980472"/>
    <w:rsid w:val="00980A5A"/>
    <w:rsid w:val="00981275"/>
    <w:rsid w:val="00981568"/>
    <w:rsid w:val="00981E99"/>
    <w:rsid w:val="00981EF4"/>
    <w:rsid w:val="009820EA"/>
    <w:rsid w:val="0098227B"/>
    <w:rsid w:val="0098244C"/>
    <w:rsid w:val="0098256F"/>
    <w:rsid w:val="00984369"/>
    <w:rsid w:val="00984516"/>
    <w:rsid w:val="009845A5"/>
    <w:rsid w:val="00984A08"/>
    <w:rsid w:val="00984A26"/>
    <w:rsid w:val="00984EB2"/>
    <w:rsid w:val="0098535F"/>
    <w:rsid w:val="009857B8"/>
    <w:rsid w:val="00985BDD"/>
    <w:rsid w:val="00985C22"/>
    <w:rsid w:val="00985ECE"/>
    <w:rsid w:val="00986150"/>
    <w:rsid w:val="009862AB"/>
    <w:rsid w:val="009866CF"/>
    <w:rsid w:val="00986E01"/>
    <w:rsid w:val="009870F0"/>
    <w:rsid w:val="00987233"/>
    <w:rsid w:val="009879F2"/>
    <w:rsid w:val="00987C3A"/>
    <w:rsid w:val="00987DC2"/>
    <w:rsid w:val="00987F80"/>
    <w:rsid w:val="009901B8"/>
    <w:rsid w:val="00990353"/>
    <w:rsid w:val="009908E2"/>
    <w:rsid w:val="00990C58"/>
    <w:rsid w:val="00990D93"/>
    <w:rsid w:val="00990ED5"/>
    <w:rsid w:val="009910B8"/>
    <w:rsid w:val="00991143"/>
    <w:rsid w:val="00991153"/>
    <w:rsid w:val="00991376"/>
    <w:rsid w:val="00991608"/>
    <w:rsid w:val="00991846"/>
    <w:rsid w:val="0099189F"/>
    <w:rsid w:val="00992B1E"/>
    <w:rsid w:val="00992CC7"/>
    <w:rsid w:val="009931F6"/>
    <w:rsid w:val="00993626"/>
    <w:rsid w:val="00993BAA"/>
    <w:rsid w:val="00993ED4"/>
    <w:rsid w:val="00993FDE"/>
    <w:rsid w:val="0099428F"/>
    <w:rsid w:val="00994496"/>
    <w:rsid w:val="00994740"/>
    <w:rsid w:val="00994B20"/>
    <w:rsid w:val="009953E0"/>
    <w:rsid w:val="00996C4D"/>
    <w:rsid w:val="00997002"/>
    <w:rsid w:val="009A0425"/>
    <w:rsid w:val="009A0B9B"/>
    <w:rsid w:val="009A137A"/>
    <w:rsid w:val="009A1D00"/>
    <w:rsid w:val="009A1FA0"/>
    <w:rsid w:val="009A21CB"/>
    <w:rsid w:val="009A22ED"/>
    <w:rsid w:val="009A271B"/>
    <w:rsid w:val="009A2759"/>
    <w:rsid w:val="009A28E2"/>
    <w:rsid w:val="009A2995"/>
    <w:rsid w:val="009A2B6C"/>
    <w:rsid w:val="009A2C98"/>
    <w:rsid w:val="009A335F"/>
    <w:rsid w:val="009A3A24"/>
    <w:rsid w:val="009A3BB4"/>
    <w:rsid w:val="009A3CC2"/>
    <w:rsid w:val="009A3D63"/>
    <w:rsid w:val="009A4209"/>
    <w:rsid w:val="009A4316"/>
    <w:rsid w:val="009A46A8"/>
    <w:rsid w:val="009A4748"/>
    <w:rsid w:val="009A4C4B"/>
    <w:rsid w:val="009A4F03"/>
    <w:rsid w:val="009A5035"/>
    <w:rsid w:val="009A5062"/>
    <w:rsid w:val="009A5C25"/>
    <w:rsid w:val="009A5D5E"/>
    <w:rsid w:val="009A67DA"/>
    <w:rsid w:val="009A694D"/>
    <w:rsid w:val="009A7984"/>
    <w:rsid w:val="009B111D"/>
    <w:rsid w:val="009B18FF"/>
    <w:rsid w:val="009B20B4"/>
    <w:rsid w:val="009B238A"/>
    <w:rsid w:val="009B24F9"/>
    <w:rsid w:val="009B2966"/>
    <w:rsid w:val="009B29B8"/>
    <w:rsid w:val="009B29C2"/>
    <w:rsid w:val="009B2FB3"/>
    <w:rsid w:val="009B339A"/>
    <w:rsid w:val="009B36EB"/>
    <w:rsid w:val="009B3C83"/>
    <w:rsid w:val="009B47A2"/>
    <w:rsid w:val="009B4C28"/>
    <w:rsid w:val="009B4F9E"/>
    <w:rsid w:val="009B5086"/>
    <w:rsid w:val="009B5413"/>
    <w:rsid w:val="009B55CA"/>
    <w:rsid w:val="009B64D3"/>
    <w:rsid w:val="009B6A62"/>
    <w:rsid w:val="009B6EE3"/>
    <w:rsid w:val="009B79D9"/>
    <w:rsid w:val="009B7F23"/>
    <w:rsid w:val="009C0FB1"/>
    <w:rsid w:val="009C0FCE"/>
    <w:rsid w:val="009C190E"/>
    <w:rsid w:val="009C1DD1"/>
    <w:rsid w:val="009C1E8C"/>
    <w:rsid w:val="009C1F56"/>
    <w:rsid w:val="009C2113"/>
    <w:rsid w:val="009C2842"/>
    <w:rsid w:val="009C2B89"/>
    <w:rsid w:val="009C30D0"/>
    <w:rsid w:val="009C325E"/>
    <w:rsid w:val="009C32D6"/>
    <w:rsid w:val="009C344F"/>
    <w:rsid w:val="009C3797"/>
    <w:rsid w:val="009C3951"/>
    <w:rsid w:val="009C39F4"/>
    <w:rsid w:val="009C42D9"/>
    <w:rsid w:val="009C4581"/>
    <w:rsid w:val="009C50B3"/>
    <w:rsid w:val="009C536F"/>
    <w:rsid w:val="009C54C7"/>
    <w:rsid w:val="009C57E8"/>
    <w:rsid w:val="009C5AEE"/>
    <w:rsid w:val="009C5D9A"/>
    <w:rsid w:val="009C63A9"/>
    <w:rsid w:val="009C6F5C"/>
    <w:rsid w:val="009C716B"/>
    <w:rsid w:val="009C7C9A"/>
    <w:rsid w:val="009D016F"/>
    <w:rsid w:val="009D01EF"/>
    <w:rsid w:val="009D0DD9"/>
    <w:rsid w:val="009D0F87"/>
    <w:rsid w:val="009D0FB1"/>
    <w:rsid w:val="009D14C8"/>
    <w:rsid w:val="009D170C"/>
    <w:rsid w:val="009D1C35"/>
    <w:rsid w:val="009D1FF6"/>
    <w:rsid w:val="009D2806"/>
    <w:rsid w:val="009D29CA"/>
    <w:rsid w:val="009D29F7"/>
    <w:rsid w:val="009D301C"/>
    <w:rsid w:val="009D30BF"/>
    <w:rsid w:val="009D318A"/>
    <w:rsid w:val="009D3A52"/>
    <w:rsid w:val="009D3C35"/>
    <w:rsid w:val="009D3EF9"/>
    <w:rsid w:val="009D4445"/>
    <w:rsid w:val="009D4B98"/>
    <w:rsid w:val="009D52AC"/>
    <w:rsid w:val="009D613A"/>
    <w:rsid w:val="009D6315"/>
    <w:rsid w:val="009D6748"/>
    <w:rsid w:val="009D6DFA"/>
    <w:rsid w:val="009D6F4C"/>
    <w:rsid w:val="009D6FBE"/>
    <w:rsid w:val="009D720F"/>
    <w:rsid w:val="009D7347"/>
    <w:rsid w:val="009D77A2"/>
    <w:rsid w:val="009D7AF1"/>
    <w:rsid w:val="009D7F8D"/>
    <w:rsid w:val="009E0022"/>
    <w:rsid w:val="009E00F9"/>
    <w:rsid w:val="009E0331"/>
    <w:rsid w:val="009E03CB"/>
    <w:rsid w:val="009E08ED"/>
    <w:rsid w:val="009E096A"/>
    <w:rsid w:val="009E1898"/>
    <w:rsid w:val="009E1AE0"/>
    <w:rsid w:val="009E1C47"/>
    <w:rsid w:val="009E1CA3"/>
    <w:rsid w:val="009E1CCF"/>
    <w:rsid w:val="009E242E"/>
    <w:rsid w:val="009E304F"/>
    <w:rsid w:val="009E3213"/>
    <w:rsid w:val="009E386A"/>
    <w:rsid w:val="009E4077"/>
    <w:rsid w:val="009E4185"/>
    <w:rsid w:val="009E5457"/>
    <w:rsid w:val="009E6719"/>
    <w:rsid w:val="009E6A7D"/>
    <w:rsid w:val="009E7397"/>
    <w:rsid w:val="009E75C9"/>
    <w:rsid w:val="009E7619"/>
    <w:rsid w:val="009E7953"/>
    <w:rsid w:val="009E7AE3"/>
    <w:rsid w:val="009F025C"/>
    <w:rsid w:val="009F02C0"/>
    <w:rsid w:val="009F03EE"/>
    <w:rsid w:val="009F0C18"/>
    <w:rsid w:val="009F2464"/>
    <w:rsid w:val="009F2B5E"/>
    <w:rsid w:val="009F2B5F"/>
    <w:rsid w:val="009F37CE"/>
    <w:rsid w:val="009F3A99"/>
    <w:rsid w:val="009F3F82"/>
    <w:rsid w:val="009F42D5"/>
    <w:rsid w:val="009F442A"/>
    <w:rsid w:val="009F4752"/>
    <w:rsid w:val="009F4DD4"/>
    <w:rsid w:val="009F5295"/>
    <w:rsid w:val="009F5659"/>
    <w:rsid w:val="009F5E17"/>
    <w:rsid w:val="009F60C7"/>
    <w:rsid w:val="009F6818"/>
    <w:rsid w:val="009F6A18"/>
    <w:rsid w:val="009F70B3"/>
    <w:rsid w:val="009F7271"/>
    <w:rsid w:val="009F749C"/>
    <w:rsid w:val="00A000ED"/>
    <w:rsid w:val="00A003C3"/>
    <w:rsid w:val="00A00CFC"/>
    <w:rsid w:val="00A01311"/>
    <w:rsid w:val="00A0189F"/>
    <w:rsid w:val="00A01A5B"/>
    <w:rsid w:val="00A02ED3"/>
    <w:rsid w:val="00A0315B"/>
    <w:rsid w:val="00A03F83"/>
    <w:rsid w:val="00A0436E"/>
    <w:rsid w:val="00A0451A"/>
    <w:rsid w:val="00A04B33"/>
    <w:rsid w:val="00A04EF6"/>
    <w:rsid w:val="00A05A07"/>
    <w:rsid w:val="00A05C34"/>
    <w:rsid w:val="00A05C39"/>
    <w:rsid w:val="00A06210"/>
    <w:rsid w:val="00A06C39"/>
    <w:rsid w:val="00A06D74"/>
    <w:rsid w:val="00A0718A"/>
    <w:rsid w:val="00A075FA"/>
    <w:rsid w:val="00A100D5"/>
    <w:rsid w:val="00A10522"/>
    <w:rsid w:val="00A11557"/>
    <w:rsid w:val="00A11776"/>
    <w:rsid w:val="00A118DB"/>
    <w:rsid w:val="00A11E61"/>
    <w:rsid w:val="00A124BB"/>
    <w:rsid w:val="00A124D7"/>
    <w:rsid w:val="00A125D2"/>
    <w:rsid w:val="00A127B4"/>
    <w:rsid w:val="00A12B5F"/>
    <w:rsid w:val="00A1381A"/>
    <w:rsid w:val="00A141D3"/>
    <w:rsid w:val="00A143B3"/>
    <w:rsid w:val="00A14434"/>
    <w:rsid w:val="00A148BE"/>
    <w:rsid w:val="00A14A4C"/>
    <w:rsid w:val="00A15701"/>
    <w:rsid w:val="00A15B5D"/>
    <w:rsid w:val="00A16C01"/>
    <w:rsid w:val="00A17136"/>
    <w:rsid w:val="00A17336"/>
    <w:rsid w:val="00A17C2D"/>
    <w:rsid w:val="00A17CA5"/>
    <w:rsid w:val="00A17CC6"/>
    <w:rsid w:val="00A17CC8"/>
    <w:rsid w:val="00A202C6"/>
    <w:rsid w:val="00A20CBD"/>
    <w:rsid w:val="00A213FC"/>
    <w:rsid w:val="00A21D1A"/>
    <w:rsid w:val="00A22185"/>
    <w:rsid w:val="00A2251E"/>
    <w:rsid w:val="00A22BBC"/>
    <w:rsid w:val="00A24623"/>
    <w:rsid w:val="00A24DF6"/>
    <w:rsid w:val="00A254A8"/>
    <w:rsid w:val="00A25A67"/>
    <w:rsid w:val="00A25D84"/>
    <w:rsid w:val="00A2601A"/>
    <w:rsid w:val="00A2692D"/>
    <w:rsid w:val="00A26B1D"/>
    <w:rsid w:val="00A278FF"/>
    <w:rsid w:val="00A30415"/>
    <w:rsid w:val="00A30CA5"/>
    <w:rsid w:val="00A30F09"/>
    <w:rsid w:val="00A3114E"/>
    <w:rsid w:val="00A31697"/>
    <w:rsid w:val="00A31746"/>
    <w:rsid w:val="00A319B3"/>
    <w:rsid w:val="00A3212F"/>
    <w:rsid w:val="00A32233"/>
    <w:rsid w:val="00A3261C"/>
    <w:rsid w:val="00A328FC"/>
    <w:rsid w:val="00A32C66"/>
    <w:rsid w:val="00A33656"/>
    <w:rsid w:val="00A3368A"/>
    <w:rsid w:val="00A3370E"/>
    <w:rsid w:val="00A34935"/>
    <w:rsid w:val="00A34C11"/>
    <w:rsid w:val="00A34D83"/>
    <w:rsid w:val="00A3599C"/>
    <w:rsid w:val="00A3607B"/>
    <w:rsid w:val="00A36F56"/>
    <w:rsid w:val="00A375DE"/>
    <w:rsid w:val="00A40189"/>
    <w:rsid w:val="00A404A6"/>
    <w:rsid w:val="00A408B2"/>
    <w:rsid w:val="00A40D18"/>
    <w:rsid w:val="00A41B75"/>
    <w:rsid w:val="00A41BBE"/>
    <w:rsid w:val="00A41C0A"/>
    <w:rsid w:val="00A41EFD"/>
    <w:rsid w:val="00A42001"/>
    <w:rsid w:val="00A428D5"/>
    <w:rsid w:val="00A435FF"/>
    <w:rsid w:val="00A438BE"/>
    <w:rsid w:val="00A438CC"/>
    <w:rsid w:val="00A43B65"/>
    <w:rsid w:val="00A43F8D"/>
    <w:rsid w:val="00A44AA7"/>
    <w:rsid w:val="00A45207"/>
    <w:rsid w:val="00A45319"/>
    <w:rsid w:val="00A4556A"/>
    <w:rsid w:val="00A458DA"/>
    <w:rsid w:val="00A45DB3"/>
    <w:rsid w:val="00A45F78"/>
    <w:rsid w:val="00A46540"/>
    <w:rsid w:val="00A465CD"/>
    <w:rsid w:val="00A46B42"/>
    <w:rsid w:val="00A46CA9"/>
    <w:rsid w:val="00A47A03"/>
    <w:rsid w:val="00A47BB3"/>
    <w:rsid w:val="00A47F31"/>
    <w:rsid w:val="00A502E9"/>
    <w:rsid w:val="00A50560"/>
    <w:rsid w:val="00A517F7"/>
    <w:rsid w:val="00A524FA"/>
    <w:rsid w:val="00A528A5"/>
    <w:rsid w:val="00A52B2C"/>
    <w:rsid w:val="00A52C35"/>
    <w:rsid w:val="00A52C92"/>
    <w:rsid w:val="00A535ED"/>
    <w:rsid w:val="00A53C67"/>
    <w:rsid w:val="00A53DFB"/>
    <w:rsid w:val="00A54315"/>
    <w:rsid w:val="00A54490"/>
    <w:rsid w:val="00A54723"/>
    <w:rsid w:val="00A54C0E"/>
    <w:rsid w:val="00A54E2B"/>
    <w:rsid w:val="00A559D9"/>
    <w:rsid w:val="00A55CAE"/>
    <w:rsid w:val="00A55FAC"/>
    <w:rsid w:val="00A562B6"/>
    <w:rsid w:val="00A56502"/>
    <w:rsid w:val="00A56970"/>
    <w:rsid w:val="00A56E0C"/>
    <w:rsid w:val="00A56F1B"/>
    <w:rsid w:val="00A571D0"/>
    <w:rsid w:val="00A57597"/>
    <w:rsid w:val="00A57653"/>
    <w:rsid w:val="00A57CD6"/>
    <w:rsid w:val="00A601E6"/>
    <w:rsid w:val="00A60D10"/>
    <w:rsid w:val="00A60E8D"/>
    <w:rsid w:val="00A6117C"/>
    <w:rsid w:val="00A62160"/>
    <w:rsid w:val="00A63134"/>
    <w:rsid w:val="00A63637"/>
    <w:rsid w:val="00A63AFA"/>
    <w:rsid w:val="00A64649"/>
    <w:rsid w:val="00A6470B"/>
    <w:rsid w:val="00A6488D"/>
    <w:rsid w:val="00A64E7A"/>
    <w:rsid w:val="00A657D3"/>
    <w:rsid w:val="00A65854"/>
    <w:rsid w:val="00A65E82"/>
    <w:rsid w:val="00A6627C"/>
    <w:rsid w:val="00A66444"/>
    <w:rsid w:val="00A670CC"/>
    <w:rsid w:val="00A673ED"/>
    <w:rsid w:val="00A673FC"/>
    <w:rsid w:val="00A67872"/>
    <w:rsid w:val="00A67919"/>
    <w:rsid w:val="00A6791A"/>
    <w:rsid w:val="00A67F48"/>
    <w:rsid w:val="00A7027E"/>
    <w:rsid w:val="00A70BC2"/>
    <w:rsid w:val="00A70BF5"/>
    <w:rsid w:val="00A7143D"/>
    <w:rsid w:val="00A718BC"/>
    <w:rsid w:val="00A7196B"/>
    <w:rsid w:val="00A721FE"/>
    <w:rsid w:val="00A7235D"/>
    <w:rsid w:val="00A724FA"/>
    <w:rsid w:val="00A7275C"/>
    <w:rsid w:val="00A72A56"/>
    <w:rsid w:val="00A72BFC"/>
    <w:rsid w:val="00A73562"/>
    <w:rsid w:val="00A73B30"/>
    <w:rsid w:val="00A73B36"/>
    <w:rsid w:val="00A73C31"/>
    <w:rsid w:val="00A73E3F"/>
    <w:rsid w:val="00A73F40"/>
    <w:rsid w:val="00A741CE"/>
    <w:rsid w:val="00A743E8"/>
    <w:rsid w:val="00A74823"/>
    <w:rsid w:val="00A74869"/>
    <w:rsid w:val="00A74DAC"/>
    <w:rsid w:val="00A74F7C"/>
    <w:rsid w:val="00A76272"/>
    <w:rsid w:val="00A76946"/>
    <w:rsid w:val="00A77161"/>
    <w:rsid w:val="00A774EF"/>
    <w:rsid w:val="00A77877"/>
    <w:rsid w:val="00A80714"/>
    <w:rsid w:val="00A8090F"/>
    <w:rsid w:val="00A80954"/>
    <w:rsid w:val="00A80E8C"/>
    <w:rsid w:val="00A81B03"/>
    <w:rsid w:val="00A81DD3"/>
    <w:rsid w:val="00A81E91"/>
    <w:rsid w:val="00A82897"/>
    <w:rsid w:val="00A82B7A"/>
    <w:rsid w:val="00A83F71"/>
    <w:rsid w:val="00A84D78"/>
    <w:rsid w:val="00A84F03"/>
    <w:rsid w:val="00A851D9"/>
    <w:rsid w:val="00A851F7"/>
    <w:rsid w:val="00A854B3"/>
    <w:rsid w:val="00A854BE"/>
    <w:rsid w:val="00A8698E"/>
    <w:rsid w:val="00A8710E"/>
    <w:rsid w:val="00A872E5"/>
    <w:rsid w:val="00A8739C"/>
    <w:rsid w:val="00A87C61"/>
    <w:rsid w:val="00A87F70"/>
    <w:rsid w:val="00A90937"/>
    <w:rsid w:val="00A90AD8"/>
    <w:rsid w:val="00A91652"/>
    <w:rsid w:val="00A9178B"/>
    <w:rsid w:val="00A91B53"/>
    <w:rsid w:val="00A92870"/>
    <w:rsid w:val="00A9294D"/>
    <w:rsid w:val="00A9326F"/>
    <w:rsid w:val="00A93716"/>
    <w:rsid w:val="00A937FC"/>
    <w:rsid w:val="00A93966"/>
    <w:rsid w:val="00A94008"/>
    <w:rsid w:val="00A94413"/>
    <w:rsid w:val="00A94E99"/>
    <w:rsid w:val="00A95642"/>
    <w:rsid w:val="00A9587B"/>
    <w:rsid w:val="00A96501"/>
    <w:rsid w:val="00A965B9"/>
    <w:rsid w:val="00A9710A"/>
    <w:rsid w:val="00A972CB"/>
    <w:rsid w:val="00A9769C"/>
    <w:rsid w:val="00A97BB2"/>
    <w:rsid w:val="00A97C72"/>
    <w:rsid w:val="00AA03E6"/>
    <w:rsid w:val="00AA0794"/>
    <w:rsid w:val="00AA0C34"/>
    <w:rsid w:val="00AA0D41"/>
    <w:rsid w:val="00AA1C3B"/>
    <w:rsid w:val="00AA1FB7"/>
    <w:rsid w:val="00AA2244"/>
    <w:rsid w:val="00AA2349"/>
    <w:rsid w:val="00AA26CA"/>
    <w:rsid w:val="00AA2BAA"/>
    <w:rsid w:val="00AA333C"/>
    <w:rsid w:val="00AA3A79"/>
    <w:rsid w:val="00AA3DAB"/>
    <w:rsid w:val="00AA4398"/>
    <w:rsid w:val="00AA4581"/>
    <w:rsid w:val="00AA4804"/>
    <w:rsid w:val="00AA57A4"/>
    <w:rsid w:val="00AA583C"/>
    <w:rsid w:val="00AA5A67"/>
    <w:rsid w:val="00AA5D2E"/>
    <w:rsid w:val="00AA601F"/>
    <w:rsid w:val="00AA6188"/>
    <w:rsid w:val="00AA6528"/>
    <w:rsid w:val="00AA7737"/>
    <w:rsid w:val="00AA7D89"/>
    <w:rsid w:val="00AA7D8B"/>
    <w:rsid w:val="00AB0047"/>
    <w:rsid w:val="00AB0C0A"/>
    <w:rsid w:val="00AB0CEF"/>
    <w:rsid w:val="00AB1200"/>
    <w:rsid w:val="00AB1282"/>
    <w:rsid w:val="00AB137E"/>
    <w:rsid w:val="00AB143A"/>
    <w:rsid w:val="00AB24A5"/>
    <w:rsid w:val="00AB2DAE"/>
    <w:rsid w:val="00AB3449"/>
    <w:rsid w:val="00AB39F5"/>
    <w:rsid w:val="00AB3D4D"/>
    <w:rsid w:val="00AB4025"/>
    <w:rsid w:val="00AB5047"/>
    <w:rsid w:val="00AB5A28"/>
    <w:rsid w:val="00AB5D4F"/>
    <w:rsid w:val="00AB5D6A"/>
    <w:rsid w:val="00AB6911"/>
    <w:rsid w:val="00AB69A4"/>
    <w:rsid w:val="00AB71F3"/>
    <w:rsid w:val="00AB72D5"/>
    <w:rsid w:val="00AB7611"/>
    <w:rsid w:val="00AB7654"/>
    <w:rsid w:val="00AB76B3"/>
    <w:rsid w:val="00AB7943"/>
    <w:rsid w:val="00AB7BA7"/>
    <w:rsid w:val="00AC0051"/>
    <w:rsid w:val="00AC02CC"/>
    <w:rsid w:val="00AC03DC"/>
    <w:rsid w:val="00AC098A"/>
    <w:rsid w:val="00AC0C10"/>
    <w:rsid w:val="00AC0D6D"/>
    <w:rsid w:val="00AC14F0"/>
    <w:rsid w:val="00AC15F0"/>
    <w:rsid w:val="00AC1777"/>
    <w:rsid w:val="00AC177A"/>
    <w:rsid w:val="00AC19B2"/>
    <w:rsid w:val="00AC1CEA"/>
    <w:rsid w:val="00AC1D79"/>
    <w:rsid w:val="00AC2274"/>
    <w:rsid w:val="00AC238F"/>
    <w:rsid w:val="00AC2798"/>
    <w:rsid w:val="00AC27C0"/>
    <w:rsid w:val="00AC2F1D"/>
    <w:rsid w:val="00AC34AB"/>
    <w:rsid w:val="00AC379F"/>
    <w:rsid w:val="00AC3810"/>
    <w:rsid w:val="00AC3C4C"/>
    <w:rsid w:val="00AC3F42"/>
    <w:rsid w:val="00AC4AC6"/>
    <w:rsid w:val="00AC5A9A"/>
    <w:rsid w:val="00AC6540"/>
    <w:rsid w:val="00AC6B40"/>
    <w:rsid w:val="00AC6CCF"/>
    <w:rsid w:val="00AC6F1D"/>
    <w:rsid w:val="00AC7079"/>
    <w:rsid w:val="00AC718C"/>
    <w:rsid w:val="00AC7A44"/>
    <w:rsid w:val="00AD0619"/>
    <w:rsid w:val="00AD0BB4"/>
    <w:rsid w:val="00AD106A"/>
    <w:rsid w:val="00AD1A47"/>
    <w:rsid w:val="00AD2365"/>
    <w:rsid w:val="00AD3457"/>
    <w:rsid w:val="00AD363A"/>
    <w:rsid w:val="00AD3876"/>
    <w:rsid w:val="00AD39B5"/>
    <w:rsid w:val="00AD3B65"/>
    <w:rsid w:val="00AD4501"/>
    <w:rsid w:val="00AD4AF2"/>
    <w:rsid w:val="00AD4CEA"/>
    <w:rsid w:val="00AD5CC7"/>
    <w:rsid w:val="00AD5E6D"/>
    <w:rsid w:val="00AD65A9"/>
    <w:rsid w:val="00AD6955"/>
    <w:rsid w:val="00AD699D"/>
    <w:rsid w:val="00AD6BC0"/>
    <w:rsid w:val="00AE0558"/>
    <w:rsid w:val="00AE063F"/>
    <w:rsid w:val="00AE0823"/>
    <w:rsid w:val="00AE0B4F"/>
    <w:rsid w:val="00AE0ED5"/>
    <w:rsid w:val="00AE134B"/>
    <w:rsid w:val="00AE1445"/>
    <w:rsid w:val="00AE1BC8"/>
    <w:rsid w:val="00AE23ED"/>
    <w:rsid w:val="00AE258F"/>
    <w:rsid w:val="00AE2DB6"/>
    <w:rsid w:val="00AE336D"/>
    <w:rsid w:val="00AE3464"/>
    <w:rsid w:val="00AE352F"/>
    <w:rsid w:val="00AE391F"/>
    <w:rsid w:val="00AE39FF"/>
    <w:rsid w:val="00AE3A7B"/>
    <w:rsid w:val="00AE4077"/>
    <w:rsid w:val="00AE4097"/>
    <w:rsid w:val="00AE4540"/>
    <w:rsid w:val="00AE4936"/>
    <w:rsid w:val="00AE4C36"/>
    <w:rsid w:val="00AE522F"/>
    <w:rsid w:val="00AE551B"/>
    <w:rsid w:val="00AE5C43"/>
    <w:rsid w:val="00AE5CC5"/>
    <w:rsid w:val="00AE5D61"/>
    <w:rsid w:val="00AE636B"/>
    <w:rsid w:val="00AE72A8"/>
    <w:rsid w:val="00AE72DA"/>
    <w:rsid w:val="00AE7391"/>
    <w:rsid w:val="00AE79B7"/>
    <w:rsid w:val="00AF0603"/>
    <w:rsid w:val="00AF08B1"/>
    <w:rsid w:val="00AF09A9"/>
    <w:rsid w:val="00AF0AC4"/>
    <w:rsid w:val="00AF11F0"/>
    <w:rsid w:val="00AF1491"/>
    <w:rsid w:val="00AF2294"/>
    <w:rsid w:val="00AF23B9"/>
    <w:rsid w:val="00AF2D2A"/>
    <w:rsid w:val="00AF3270"/>
    <w:rsid w:val="00AF363C"/>
    <w:rsid w:val="00AF374C"/>
    <w:rsid w:val="00AF39E6"/>
    <w:rsid w:val="00AF4968"/>
    <w:rsid w:val="00AF52CB"/>
    <w:rsid w:val="00AF5308"/>
    <w:rsid w:val="00AF589D"/>
    <w:rsid w:val="00AF604C"/>
    <w:rsid w:val="00AF60A7"/>
    <w:rsid w:val="00AF6246"/>
    <w:rsid w:val="00AF6973"/>
    <w:rsid w:val="00AF6E5C"/>
    <w:rsid w:val="00AF7598"/>
    <w:rsid w:val="00AF7B2A"/>
    <w:rsid w:val="00AF7B97"/>
    <w:rsid w:val="00AF7CAC"/>
    <w:rsid w:val="00B008BB"/>
    <w:rsid w:val="00B00C06"/>
    <w:rsid w:val="00B00D60"/>
    <w:rsid w:val="00B00F6C"/>
    <w:rsid w:val="00B0163F"/>
    <w:rsid w:val="00B017AD"/>
    <w:rsid w:val="00B0184B"/>
    <w:rsid w:val="00B02348"/>
    <w:rsid w:val="00B02B12"/>
    <w:rsid w:val="00B02C12"/>
    <w:rsid w:val="00B0486D"/>
    <w:rsid w:val="00B050C7"/>
    <w:rsid w:val="00B05345"/>
    <w:rsid w:val="00B0555C"/>
    <w:rsid w:val="00B05AB5"/>
    <w:rsid w:val="00B05E19"/>
    <w:rsid w:val="00B06428"/>
    <w:rsid w:val="00B06461"/>
    <w:rsid w:val="00B06763"/>
    <w:rsid w:val="00B068E1"/>
    <w:rsid w:val="00B06E45"/>
    <w:rsid w:val="00B06F29"/>
    <w:rsid w:val="00B07B32"/>
    <w:rsid w:val="00B103CE"/>
    <w:rsid w:val="00B10818"/>
    <w:rsid w:val="00B10AFE"/>
    <w:rsid w:val="00B11DB4"/>
    <w:rsid w:val="00B1219E"/>
    <w:rsid w:val="00B124DC"/>
    <w:rsid w:val="00B12A2E"/>
    <w:rsid w:val="00B130A8"/>
    <w:rsid w:val="00B13609"/>
    <w:rsid w:val="00B14424"/>
    <w:rsid w:val="00B144F5"/>
    <w:rsid w:val="00B14539"/>
    <w:rsid w:val="00B1459F"/>
    <w:rsid w:val="00B1497A"/>
    <w:rsid w:val="00B15196"/>
    <w:rsid w:val="00B1527E"/>
    <w:rsid w:val="00B15CA3"/>
    <w:rsid w:val="00B160C9"/>
    <w:rsid w:val="00B1626E"/>
    <w:rsid w:val="00B16288"/>
    <w:rsid w:val="00B16EF2"/>
    <w:rsid w:val="00B16F09"/>
    <w:rsid w:val="00B16F63"/>
    <w:rsid w:val="00B1710E"/>
    <w:rsid w:val="00B1758A"/>
    <w:rsid w:val="00B17E63"/>
    <w:rsid w:val="00B20370"/>
    <w:rsid w:val="00B20844"/>
    <w:rsid w:val="00B2123A"/>
    <w:rsid w:val="00B219D2"/>
    <w:rsid w:val="00B2242D"/>
    <w:rsid w:val="00B224F5"/>
    <w:rsid w:val="00B2285A"/>
    <w:rsid w:val="00B22FD1"/>
    <w:rsid w:val="00B23AA6"/>
    <w:rsid w:val="00B23CC0"/>
    <w:rsid w:val="00B242A7"/>
    <w:rsid w:val="00B244E8"/>
    <w:rsid w:val="00B246F8"/>
    <w:rsid w:val="00B24DF7"/>
    <w:rsid w:val="00B25114"/>
    <w:rsid w:val="00B25982"/>
    <w:rsid w:val="00B26153"/>
    <w:rsid w:val="00B26463"/>
    <w:rsid w:val="00B26AF6"/>
    <w:rsid w:val="00B26F9A"/>
    <w:rsid w:val="00B2799E"/>
    <w:rsid w:val="00B30193"/>
    <w:rsid w:val="00B301BF"/>
    <w:rsid w:val="00B30E04"/>
    <w:rsid w:val="00B3139D"/>
    <w:rsid w:val="00B317D0"/>
    <w:rsid w:val="00B31D7D"/>
    <w:rsid w:val="00B32918"/>
    <w:rsid w:val="00B3308C"/>
    <w:rsid w:val="00B330E4"/>
    <w:rsid w:val="00B33351"/>
    <w:rsid w:val="00B33B63"/>
    <w:rsid w:val="00B33B80"/>
    <w:rsid w:val="00B345FD"/>
    <w:rsid w:val="00B34859"/>
    <w:rsid w:val="00B34925"/>
    <w:rsid w:val="00B349C5"/>
    <w:rsid w:val="00B34C13"/>
    <w:rsid w:val="00B34CA9"/>
    <w:rsid w:val="00B34CC6"/>
    <w:rsid w:val="00B3533C"/>
    <w:rsid w:val="00B355E5"/>
    <w:rsid w:val="00B3575A"/>
    <w:rsid w:val="00B35D34"/>
    <w:rsid w:val="00B35D57"/>
    <w:rsid w:val="00B35EEF"/>
    <w:rsid w:val="00B36274"/>
    <w:rsid w:val="00B3638B"/>
    <w:rsid w:val="00B36533"/>
    <w:rsid w:val="00B36A53"/>
    <w:rsid w:val="00B375F5"/>
    <w:rsid w:val="00B37B2D"/>
    <w:rsid w:val="00B4074E"/>
    <w:rsid w:val="00B40784"/>
    <w:rsid w:val="00B40AEF"/>
    <w:rsid w:val="00B40CE8"/>
    <w:rsid w:val="00B411E4"/>
    <w:rsid w:val="00B41FB4"/>
    <w:rsid w:val="00B42049"/>
    <w:rsid w:val="00B42830"/>
    <w:rsid w:val="00B42A3D"/>
    <w:rsid w:val="00B42BEA"/>
    <w:rsid w:val="00B42CFA"/>
    <w:rsid w:val="00B42F1E"/>
    <w:rsid w:val="00B431C0"/>
    <w:rsid w:val="00B435B3"/>
    <w:rsid w:val="00B436B9"/>
    <w:rsid w:val="00B444F1"/>
    <w:rsid w:val="00B4492B"/>
    <w:rsid w:val="00B44F2F"/>
    <w:rsid w:val="00B45BF7"/>
    <w:rsid w:val="00B45FD4"/>
    <w:rsid w:val="00B46481"/>
    <w:rsid w:val="00B46FA2"/>
    <w:rsid w:val="00B4780B"/>
    <w:rsid w:val="00B50023"/>
    <w:rsid w:val="00B50629"/>
    <w:rsid w:val="00B5101E"/>
    <w:rsid w:val="00B51521"/>
    <w:rsid w:val="00B528CA"/>
    <w:rsid w:val="00B529A6"/>
    <w:rsid w:val="00B52A32"/>
    <w:rsid w:val="00B5325B"/>
    <w:rsid w:val="00B53718"/>
    <w:rsid w:val="00B539D4"/>
    <w:rsid w:val="00B53AA6"/>
    <w:rsid w:val="00B54751"/>
    <w:rsid w:val="00B54941"/>
    <w:rsid w:val="00B54DBF"/>
    <w:rsid w:val="00B54F02"/>
    <w:rsid w:val="00B54FAE"/>
    <w:rsid w:val="00B555DB"/>
    <w:rsid w:val="00B5595D"/>
    <w:rsid w:val="00B559C7"/>
    <w:rsid w:val="00B55A77"/>
    <w:rsid w:val="00B56196"/>
    <w:rsid w:val="00B56EF0"/>
    <w:rsid w:val="00B570D4"/>
    <w:rsid w:val="00B57215"/>
    <w:rsid w:val="00B57410"/>
    <w:rsid w:val="00B57423"/>
    <w:rsid w:val="00B57735"/>
    <w:rsid w:val="00B57B8E"/>
    <w:rsid w:val="00B57DE7"/>
    <w:rsid w:val="00B57F0C"/>
    <w:rsid w:val="00B60081"/>
    <w:rsid w:val="00B60A1B"/>
    <w:rsid w:val="00B610EB"/>
    <w:rsid w:val="00B61A22"/>
    <w:rsid w:val="00B61D57"/>
    <w:rsid w:val="00B61DEB"/>
    <w:rsid w:val="00B620E7"/>
    <w:rsid w:val="00B62B3F"/>
    <w:rsid w:val="00B63073"/>
    <w:rsid w:val="00B63F54"/>
    <w:rsid w:val="00B640DD"/>
    <w:rsid w:val="00B6456E"/>
    <w:rsid w:val="00B647FB"/>
    <w:rsid w:val="00B648FD"/>
    <w:rsid w:val="00B64ACE"/>
    <w:rsid w:val="00B64BEE"/>
    <w:rsid w:val="00B64D4A"/>
    <w:rsid w:val="00B650D4"/>
    <w:rsid w:val="00B65E77"/>
    <w:rsid w:val="00B65FC9"/>
    <w:rsid w:val="00B66050"/>
    <w:rsid w:val="00B661AC"/>
    <w:rsid w:val="00B66633"/>
    <w:rsid w:val="00B66840"/>
    <w:rsid w:val="00B66E28"/>
    <w:rsid w:val="00B67290"/>
    <w:rsid w:val="00B6794A"/>
    <w:rsid w:val="00B67C46"/>
    <w:rsid w:val="00B70180"/>
    <w:rsid w:val="00B708FF"/>
    <w:rsid w:val="00B70B20"/>
    <w:rsid w:val="00B70C4E"/>
    <w:rsid w:val="00B70E6A"/>
    <w:rsid w:val="00B71A09"/>
    <w:rsid w:val="00B71A94"/>
    <w:rsid w:val="00B71AB5"/>
    <w:rsid w:val="00B722FC"/>
    <w:rsid w:val="00B730DA"/>
    <w:rsid w:val="00B73BBB"/>
    <w:rsid w:val="00B7495F"/>
    <w:rsid w:val="00B74AEE"/>
    <w:rsid w:val="00B74F97"/>
    <w:rsid w:val="00B74FD0"/>
    <w:rsid w:val="00B75B2D"/>
    <w:rsid w:val="00B7609F"/>
    <w:rsid w:val="00B76EFA"/>
    <w:rsid w:val="00B77188"/>
    <w:rsid w:val="00B77286"/>
    <w:rsid w:val="00B77463"/>
    <w:rsid w:val="00B80BB4"/>
    <w:rsid w:val="00B80C16"/>
    <w:rsid w:val="00B81C37"/>
    <w:rsid w:val="00B820B8"/>
    <w:rsid w:val="00B8226F"/>
    <w:rsid w:val="00B824EE"/>
    <w:rsid w:val="00B82684"/>
    <w:rsid w:val="00B8408A"/>
    <w:rsid w:val="00B8444B"/>
    <w:rsid w:val="00B848C2"/>
    <w:rsid w:val="00B84D9D"/>
    <w:rsid w:val="00B84DDF"/>
    <w:rsid w:val="00B85629"/>
    <w:rsid w:val="00B85E88"/>
    <w:rsid w:val="00B864EC"/>
    <w:rsid w:val="00B866E0"/>
    <w:rsid w:val="00B868F4"/>
    <w:rsid w:val="00B86DEE"/>
    <w:rsid w:val="00B87836"/>
    <w:rsid w:val="00B87B6A"/>
    <w:rsid w:val="00B87F51"/>
    <w:rsid w:val="00B90497"/>
    <w:rsid w:val="00B911DD"/>
    <w:rsid w:val="00B9156D"/>
    <w:rsid w:val="00B91844"/>
    <w:rsid w:val="00B91936"/>
    <w:rsid w:val="00B91B32"/>
    <w:rsid w:val="00B91D13"/>
    <w:rsid w:val="00B921DC"/>
    <w:rsid w:val="00B92674"/>
    <w:rsid w:val="00B92861"/>
    <w:rsid w:val="00B92FD3"/>
    <w:rsid w:val="00B9321C"/>
    <w:rsid w:val="00B93434"/>
    <w:rsid w:val="00B93566"/>
    <w:rsid w:val="00B9383D"/>
    <w:rsid w:val="00B941D1"/>
    <w:rsid w:val="00B949F6"/>
    <w:rsid w:val="00B94CB8"/>
    <w:rsid w:val="00B94D79"/>
    <w:rsid w:val="00B95CF0"/>
    <w:rsid w:val="00B96E6A"/>
    <w:rsid w:val="00B971FE"/>
    <w:rsid w:val="00B97A31"/>
    <w:rsid w:val="00B97B29"/>
    <w:rsid w:val="00B97D90"/>
    <w:rsid w:val="00BA0074"/>
    <w:rsid w:val="00BA022F"/>
    <w:rsid w:val="00BA0541"/>
    <w:rsid w:val="00BA07AC"/>
    <w:rsid w:val="00BA10B8"/>
    <w:rsid w:val="00BA1118"/>
    <w:rsid w:val="00BA1570"/>
    <w:rsid w:val="00BA15CD"/>
    <w:rsid w:val="00BA19B2"/>
    <w:rsid w:val="00BA1BA2"/>
    <w:rsid w:val="00BA2370"/>
    <w:rsid w:val="00BA2E2F"/>
    <w:rsid w:val="00BA32D6"/>
    <w:rsid w:val="00BA398F"/>
    <w:rsid w:val="00BA3ADA"/>
    <w:rsid w:val="00BA3B16"/>
    <w:rsid w:val="00BA3C25"/>
    <w:rsid w:val="00BA3D9A"/>
    <w:rsid w:val="00BA3DFA"/>
    <w:rsid w:val="00BA416C"/>
    <w:rsid w:val="00BA42B4"/>
    <w:rsid w:val="00BA4418"/>
    <w:rsid w:val="00BA4601"/>
    <w:rsid w:val="00BA47F2"/>
    <w:rsid w:val="00BA4C8F"/>
    <w:rsid w:val="00BA4D05"/>
    <w:rsid w:val="00BA5143"/>
    <w:rsid w:val="00BA5686"/>
    <w:rsid w:val="00BA56FB"/>
    <w:rsid w:val="00BA5AA7"/>
    <w:rsid w:val="00BA6168"/>
    <w:rsid w:val="00BA7C65"/>
    <w:rsid w:val="00BA7CA3"/>
    <w:rsid w:val="00BB0237"/>
    <w:rsid w:val="00BB0292"/>
    <w:rsid w:val="00BB0798"/>
    <w:rsid w:val="00BB098F"/>
    <w:rsid w:val="00BB0B34"/>
    <w:rsid w:val="00BB11F5"/>
    <w:rsid w:val="00BB13D2"/>
    <w:rsid w:val="00BB1728"/>
    <w:rsid w:val="00BB1EDA"/>
    <w:rsid w:val="00BB25D8"/>
    <w:rsid w:val="00BB2DA6"/>
    <w:rsid w:val="00BB3305"/>
    <w:rsid w:val="00BB360E"/>
    <w:rsid w:val="00BB3642"/>
    <w:rsid w:val="00BB3ADD"/>
    <w:rsid w:val="00BB4002"/>
    <w:rsid w:val="00BB45DA"/>
    <w:rsid w:val="00BB463C"/>
    <w:rsid w:val="00BB47FC"/>
    <w:rsid w:val="00BB4D6E"/>
    <w:rsid w:val="00BB4E77"/>
    <w:rsid w:val="00BB4EAD"/>
    <w:rsid w:val="00BB50CE"/>
    <w:rsid w:val="00BB5434"/>
    <w:rsid w:val="00BB57BC"/>
    <w:rsid w:val="00BB5D4F"/>
    <w:rsid w:val="00BB5FBF"/>
    <w:rsid w:val="00BB6246"/>
    <w:rsid w:val="00BB6363"/>
    <w:rsid w:val="00BB6494"/>
    <w:rsid w:val="00BB65A1"/>
    <w:rsid w:val="00BB73E8"/>
    <w:rsid w:val="00BB795E"/>
    <w:rsid w:val="00BB7A5B"/>
    <w:rsid w:val="00BB7AEB"/>
    <w:rsid w:val="00BB7D1D"/>
    <w:rsid w:val="00BB7FD3"/>
    <w:rsid w:val="00BC0954"/>
    <w:rsid w:val="00BC0A36"/>
    <w:rsid w:val="00BC0AD3"/>
    <w:rsid w:val="00BC0E1C"/>
    <w:rsid w:val="00BC11B7"/>
    <w:rsid w:val="00BC1452"/>
    <w:rsid w:val="00BC2DD3"/>
    <w:rsid w:val="00BC30FC"/>
    <w:rsid w:val="00BC32D9"/>
    <w:rsid w:val="00BC38C6"/>
    <w:rsid w:val="00BC3B00"/>
    <w:rsid w:val="00BC3ECF"/>
    <w:rsid w:val="00BC4596"/>
    <w:rsid w:val="00BC4B7F"/>
    <w:rsid w:val="00BC4F2E"/>
    <w:rsid w:val="00BC50F1"/>
    <w:rsid w:val="00BC54C2"/>
    <w:rsid w:val="00BC5A3F"/>
    <w:rsid w:val="00BC5B8A"/>
    <w:rsid w:val="00BC637D"/>
    <w:rsid w:val="00BC71FF"/>
    <w:rsid w:val="00BC7599"/>
    <w:rsid w:val="00BC768C"/>
    <w:rsid w:val="00BC79AD"/>
    <w:rsid w:val="00BC7D55"/>
    <w:rsid w:val="00BD0093"/>
    <w:rsid w:val="00BD00A3"/>
    <w:rsid w:val="00BD0CB5"/>
    <w:rsid w:val="00BD1548"/>
    <w:rsid w:val="00BD1565"/>
    <w:rsid w:val="00BD17F5"/>
    <w:rsid w:val="00BD2464"/>
    <w:rsid w:val="00BD288D"/>
    <w:rsid w:val="00BD2C4A"/>
    <w:rsid w:val="00BD3138"/>
    <w:rsid w:val="00BD32F0"/>
    <w:rsid w:val="00BD33F2"/>
    <w:rsid w:val="00BD3409"/>
    <w:rsid w:val="00BD402C"/>
    <w:rsid w:val="00BD46C7"/>
    <w:rsid w:val="00BD46D9"/>
    <w:rsid w:val="00BD4AEB"/>
    <w:rsid w:val="00BD571E"/>
    <w:rsid w:val="00BD5845"/>
    <w:rsid w:val="00BD59A3"/>
    <w:rsid w:val="00BD609B"/>
    <w:rsid w:val="00BD6465"/>
    <w:rsid w:val="00BD6696"/>
    <w:rsid w:val="00BD7029"/>
    <w:rsid w:val="00BD71C0"/>
    <w:rsid w:val="00BD753E"/>
    <w:rsid w:val="00BD764A"/>
    <w:rsid w:val="00BE04BF"/>
    <w:rsid w:val="00BE05F6"/>
    <w:rsid w:val="00BE060C"/>
    <w:rsid w:val="00BE0ADB"/>
    <w:rsid w:val="00BE0BCE"/>
    <w:rsid w:val="00BE0F0D"/>
    <w:rsid w:val="00BE1710"/>
    <w:rsid w:val="00BE19FE"/>
    <w:rsid w:val="00BE1B98"/>
    <w:rsid w:val="00BE256C"/>
    <w:rsid w:val="00BE262C"/>
    <w:rsid w:val="00BE284E"/>
    <w:rsid w:val="00BE2C83"/>
    <w:rsid w:val="00BE3390"/>
    <w:rsid w:val="00BE365E"/>
    <w:rsid w:val="00BE3CC3"/>
    <w:rsid w:val="00BE3D4F"/>
    <w:rsid w:val="00BE4559"/>
    <w:rsid w:val="00BE48A2"/>
    <w:rsid w:val="00BE4D61"/>
    <w:rsid w:val="00BE564F"/>
    <w:rsid w:val="00BE5885"/>
    <w:rsid w:val="00BE59A8"/>
    <w:rsid w:val="00BE5BD0"/>
    <w:rsid w:val="00BE5BED"/>
    <w:rsid w:val="00BE5C5C"/>
    <w:rsid w:val="00BE5D4D"/>
    <w:rsid w:val="00BE63F7"/>
    <w:rsid w:val="00BE668A"/>
    <w:rsid w:val="00BE66C4"/>
    <w:rsid w:val="00BE6CA1"/>
    <w:rsid w:val="00BE7EB8"/>
    <w:rsid w:val="00BF0232"/>
    <w:rsid w:val="00BF2306"/>
    <w:rsid w:val="00BF2751"/>
    <w:rsid w:val="00BF2872"/>
    <w:rsid w:val="00BF2A21"/>
    <w:rsid w:val="00BF2C49"/>
    <w:rsid w:val="00BF30AE"/>
    <w:rsid w:val="00BF324E"/>
    <w:rsid w:val="00BF39A2"/>
    <w:rsid w:val="00BF40AD"/>
    <w:rsid w:val="00BF45B4"/>
    <w:rsid w:val="00BF496E"/>
    <w:rsid w:val="00BF4ABA"/>
    <w:rsid w:val="00BF4AD2"/>
    <w:rsid w:val="00BF4D34"/>
    <w:rsid w:val="00BF4FD6"/>
    <w:rsid w:val="00BF5278"/>
    <w:rsid w:val="00BF58E1"/>
    <w:rsid w:val="00BF5AD4"/>
    <w:rsid w:val="00BF5CEE"/>
    <w:rsid w:val="00BF5F80"/>
    <w:rsid w:val="00BF66E1"/>
    <w:rsid w:val="00BF728A"/>
    <w:rsid w:val="00BF7AB2"/>
    <w:rsid w:val="00BF7C07"/>
    <w:rsid w:val="00BF7D2D"/>
    <w:rsid w:val="00BF7D6E"/>
    <w:rsid w:val="00C001CC"/>
    <w:rsid w:val="00C0043E"/>
    <w:rsid w:val="00C00824"/>
    <w:rsid w:val="00C00A62"/>
    <w:rsid w:val="00C00BAE"/>
    <w:rsid w:val="00C01AE3"/>
    <w:rsid w:val="00C0271F"/>
    <w:rsid w:val="00C027E6"/>
    <w:rsid w:val="00C02E4C"/>
    <w:rsid w:val="00C03584"/>
    <w:rsid w:val="00C0374D"/>
    <w:rsid w:val="00C038D0"/>
    <w:rsid w:val="00C03A2A"/>
    <w:rsid w:val="00C04013"/>
    <w:rsid w:val="00C05120"/>
    <w:rsid w:val="00C05221"/>
    <w:rsid w:val="00C054DC"/>
    <w:rsid w:val="00C0559E"/>
    <w:rsid w:val="00C05A26"/>
    <w:rsid w:val="00C05ABE"/>
    <w:rsid w:val="00C05D83"/>
    <w:rsid w:val="00C05D9D"/>
    <w:rsid w:val="00C05FD9"/>
    <w:rsid w:val="00C07274"/>
    <w:rsid w:val="00C074EA"/>
    <w:rsid w:val="00C076B6"/>
    <w:rsid w:val="00C07A41"/>
    <w:rsid w:val="00C07CF7"/>
    <w:rsid w:val="00C07FB7"/>
    <w:rsid w:val="00C1015D"/>
    <w:rsid w:val="00C110F2"/>
    <w:rsid w:val="00C111DB"/>
    <w:rsid w:val="00C114D1"/>
    <w:rsid w:val="00C119BB"/>
    <w:rsid w:val="00C120DC"/>
    <w:rsid w:val="00C1242B"/>
    <w:rsid w:val="00C12A19"/>
    <w:rsid w:val="00C1302B"/>
    <w:rsid w:val="00C13259"/>
    <w:rsid w:val="00C138CA"/>
    <w:rsid w:val="00C139ED"/>
    <w:rsid w:val="00C14844"/>
    <w:rsid w:val="00C14BBF"/>
    <w:rsid w:val="00C1568C"/>
    <w:rsid w:val="00C156C5"/>
    <w:rsid w:val="00C15E9F"/>
    <w:rsid w:val="00C15F35"/>
    <w:rsid w:val="00C16818"/>
    <w:rsid w:val="00C16A65"/>
    <w:rsid w:val="00C16CB0"/>
    <w:rsid w:val="00C16CF2"/>
    <w:rsid w:val="00C17B37"/>
    <w:rsid w:val="00C17C75"/>
    <w:rsid w:val="00C17DD3"/>
    <w:rsid w:val="00C201B9"/>
    <w:rsid w:val="00C201D5"/>
    <w:rsid w:val="00C20AEC"/>
    <w:rsid w:val="00C21894"/>
    <w:rsid w:val="00C218E3"/>
    <w:rsid w:val="00C2197C"/>
    <w:rsid w:val="00C219DB"/>
    <w:rsid w:val="00C21B7B"/>
    <w:rsid w:val="00C22525"/>
    <w:rsid w:val="00C227D4"/>
    <w:rsid w:val="00C22B51"/>
    <w:rsid w:val="00C22F67"/>
    <w:rsid w:val="00C22F7B"/>
    <w:rsid w:val="00C23348"/>
    <w:rsid w:val="00C23B03"/>
    <w:rsid w:val="00C23C29"/>
    <w:rsid w:val="00C23CBE"/>
    <w:rsid w:val="00C24141"/>
    <w:rsid w:val="00C24401"/>
    <w:rsid w:val="00C24984"/>
    <w:rsid w:val="00C24B47"/>
    <w:rsid w:val="00C2533B"/>
    <w:rsid w:val="00C2566B"/>
    <w:rsid w:val="00C259CF"/>
    <w:rsid w:val="00C2615B"/>
    <w:rsid w:val="00C26B2E"/>
    <w:rsid w:val="00C26DCB"/>
    <w:rsid w:val="00C27AF4"/>
    <w:rsid w:val="00C27FD0"/>
    <w:rsid w:val="00C30363"/>
    <w:rsid w:val="00C30A5B"/>
    <w:rsid w:val="00C3111B"/>
    <w:rsid w:val="00C318FF"/>
    <w:rsid w:val="00C31A36"/>
    <w:rsid w:val="00C31BC3"/>
    <w:rsid w:val="00C31EA2"/>
    <w:rsid w:val="00C32386"/>
    <w:rsid w:val="00C32750"/>
    <w:rsid w:val="00C327AE"/>
    <w:rsid w:val="00C335A7"/>
    <w:rsid w:val="00C33702"/>
    <w:rsid w:val="00C34404"/>
    <w:rsid w:val="00C345A4"/>
    <w:rsid w:val="00C34D98"/>
    <w:rsid w:val="00C3600F"/>
    <w:rsid w:val="00C369AA"/>
    <w:rsid w:val="00C36F29"/>
    <w:rsid w:val="00C3734C"/>
    <w:rsid w:val="00C373E6"/>
    <w:rsid w:val="00C37425"/>
    <w:rsid w:val="00C375C7"/>
    <w:rsid w:val="00C37741"/>
    <w:rsid w:val="00C3791F"/>
    <w:rsid w:val="00C37BC7"/>
    <w:rsid w:val="00C4069C"/>
    <w:rsid w:val="00C40C85"/>
    <w:rsid w:val="00C4167E"/>
    <w:rsid w:val="00C41ACF"/>
    <w:rsid w:val="00C42969"/>
    <w:rsid w:val="00C429DD"/>
    <w:rsid w:val="00C435E3"/>
    <w:rsid w:val="00C44ACC"/>
    <w:rsid w:val="00C44D0F"/>
    <w:rsid w:val="00C4559E"/>
    <w:rsid w:val="00C456B9"/>
    <w:rsid w:val="00C45A8B"/>
    <w:rsid w:val="00C465F8"/>
    <w:rsid w:val="00C469E6"/>
    <w:rsid w:val="00C46A63"/>
    <w:rsid w:val="00C46D5B"/>
    <w:rsid w:val="00C46EC2"/>
    <w:rsid w:val="00C47079"/>
    <w:rsid w:val="00C470FC"/>
    <w:rsid w:val="00C47424"/>
    <w:rsid w:val="00C47793"/>
    <w:rsid w:val="00C478F2"/>
    <w:rsid w:val="00C479F2"/>
    <w:rsid w:val="00C47AC8"/>
    <w:rsid w:val="00C47D0D"/>
    <w:rsid w:val="00C47DB8"/>
    <w:rsid w:val="00C47F56"/>
    <w:rsid w:val="00C50551"/>
    <w:rsid w:val="00C507D1"/>
    <w:rsid w:val="00C50940"/>
    <w:rsid w:val="00C50E34"/>
    <w:rsid w:val="00C510E1"/>
    <w:rsid w:val="00C51899"/>
    <w:rsid w:val="00C51914"/>
    <w:rsid w:val="00C52368"/>
    <w:rsid w:val="00C531B8"/>
    <w:rsid w:val="00C53625"/>
    <w:rsid w:val="00C53644"/>
    <w:rsid w:val="00C5364A"/>
    <w:rsid w:val="00C53A91"/>
    <w:rsid w:val="00C53B35"/>
    <w:rsid w:val="00C541C1"/>
    <w:rsid w:val="00C5438E"/>
    <w:rsid w:val="00C54666"/>
    <w:rsid w:val="00C54CC1"/>
    <w:rsid w:val="00C5522B"/>
    <w:rsid w:val="00C5523B"/>
    <w:rsid w:val="00C553DB"/>
    <w:rsid w:val="00C5577C"/>
    <w:rsid w:val="00C557FB"/>
    <w:rsid w:val="00C55C88"/>
    <w:rsid w:val="00C55FD8"/>
    <w:rsid w:val="00C5614E"/>
    <w:rsid w:val="00C56198"/>
    <w:rsid w:val="00C56898"/>
    <w:rsid w:val="00C5699B"/>
    <w:rsid w:val="00C56B11"/>
    <w:rsid w:val="00C56BA5"/>
    <w:rsid w:val="00C56D80"/>
    <w:rsid w:val="00C56E1F"/>
    <w:rsid w:val="00C57EFC"/>
    <w:rsid w:val="00C60491"/>
    <w:rsid w:val="00C609F3"/>
    <w:rsid w:val="00C60C59"/>
    <w:rsid w:val="00C60D1F"/>
    <w:rsid w:val="00C61A09"/>
    <w:rsid w:val="00C61C9A"/>
    <w:rsid w:val="00C61EF6"/>
    <w:rsid w:val="00C629B3"/>
    <w:rsid w:val="00C629E7"/>
    <w:rsid w:val="00C635E9"/>
    <w:rsid w:val="00C6376F"/>
    <w:rsid w:val="00C637B6"/>
    <w:rsid w:val="00C63922"/>
    <w:rsid w:val="00C6397D"/>
    <w:rsid w:val="00C63B4F"/>
    <w:rsid w:val="00C63F92"/>
    <w:rsid w:val="00C652AE"/>
    <w:rsid w:val="00C65944"/>
    <w:rsid w:val="00C659A5"/>
    <w:rsid w:val="00C667B2"/>
    <w:rsid w:val="00C67006"/>
    <w:rsid w:val="00C673D0"/>
    <w:rsid w:val="00C67CF5"/>
    <w:rsid w:val="00C67DE9"/>
    <w:rsid w:val="00C7078C"/>
    <w:rsid w:val="00C70CF4"/>
    <w:rsid w:val="00C70D79"/>
    <w:rsid w:val="00C713F0"/>
    <w:rsid w:val="00C715C0"/>
    <w:rsid w:val="00C71667"/>
    <w:rsid w:val="00C71C9B"/>
    <w:rsid w:val="00C72088"/>
    <w:rsid w:val="00C7212A"/>
    <w:rsid w:val="00C7228D"/>
    <w:rsid w:val="00C722FC"/>
    <w:rsid w:val="00C724E8"/>
    <w:rsid w:val="00C72B16"/>
    <w:rsid w:val="00C72F6A"/>
    <w:rsid w:val="00C733CA"/>
    <w:rsid w:val="00C73AEE"/>
    <w:rsid w:val="00C73E65"/>
    <w:rsid w:val="00C740A3"/>
    <w:rsid w:val="00C74128"/>
    <w:rsid w:val="00C74568"/>
    <w:rsid w:val="00C74BC1"/>
    <w:rsid w:val="00C76283"/>
    <w:rsid w:val="00C764F7"/>
    <w:rsid w:val="00C7683F"/>
    <w:rsid w:val="00C76F00"/>
    <w:rsid w:val="00C775A5"/>
    <w:rsid w:val="00C77847"/>
    <w:rsid w:val="00C7790A"/>
    <w:rsid w:val="00C779DA"/>
    <w:rsid w:val="00C77DDD"/>
    <w:rsid w:val="00C77E8D"/>
    <w:rsid w:val="00C80636"/>
    <w:rsid w:val="00C806FF"/>
    <w:rsid w:val="00C80AE6"/>
    <w:rsid w:val="00C80DDB"/>
    <w:rsid w:val="00C8151E"/>
    <w:rsid w:val="00C81B62"/>
    <w:rsid w:val="00C81E6D"/>
    <w:rsid w:val="00C829B9"/>
    <w:rsid w:val="00C82BAD"/>
    <w:rsid w:val="00C82C5F"/>
    <w:rsid w:val="00C82F1D"/>
    <w:rsid w:val="00C82FC1"/>
    <w:rsid w:val="00C83975"/>
    <w:rsid w:val="00C83FF2"/>
    <w:rsid w:val="00C8445D"/>
    <w:rsid w:val="00C845B1"/>
    <w:rsid w:val="00C8493B"/>
    <w:rsid w:val="00C84A20"/>
    <w:rsid w:val="00C84BDD"/>
    <w:rsid w:val="00C84E5C"/>
    <w:rsid w:val="00C85B89"/>
    <w:rsid w:val="00C863C1"/>
    <w:rsid w:val="00C86B16"/>
    <w:rsid w:val="00C874B5"/>
    <w:rsid w:val="00C87957"/>
    <w:rsid w:val="00C87DBC"/>
    <w:rsid w:val="00C90698"/>
    <w:rsid w:val="00C90A1C"/>
    <w:rsid w:val="00C90BC7"/>
    <w:rsid w:val="00C90CDF"/>
    <w:rsid w:val="00C90E46"/>
    <w:rsid w:val="00C910D0"/>
    <w:rsid w:val="00C91DE2"/>
    <w:rsid w:val="00C91E80"/>
    <w:rsid w:val="00C91F6A"/>
    <w:rsid w:val="00C92293"/>
    <w:rsid w:val="00C927CF"/>
    <w:rsid w:val="00C92F63"/>
    <w:rsid w:val="00C935E3"/>
    <w:rsid w:val="00C9365A"/>
    <w:rsid w:val="00C937D2"/>
    <w:rsid w:val="00C93A9F"/>
    <w:rsid w:val="00C93D84"/>
    <w:rsid w:val="00C93D94"/>
    <w:rsid w:val="00C94535"/>
    <w:rsid w:val="00C94823"/>
    <w:rsid w:val="00C949B3"/>
    <w:rsid w:val="00C94E0A"/>
    <w:rsid w:val="00C95057"/>
    <w:rsid w:val="00C95177"/>
    <w:rsid w:val="00C958DA"/>
    <w:rsid w:val="00C95958"/>
    <w:rsid w:val="00C9606D"/>
    <w:rsid w:val="00C969C1"/>
    <w:rsid w:val="00C96B3B"/>
    <w:rsid w:val="00C97225"/>
    <w:rsid w:val="00C97269"/>
    <w:rsid w:val="00C9726E"/>
    <w:rsid w:val="00C97401"/>
    <w:rsid w:val="00C97754"/>
    <w:rsid w:val="00C97789"/>
    <w:rsid w:val="00CA0085"/>
    <w:rsid w:val="00CA0245"/>
    <w:rsid w:val="00CA07AE"/>
    <w:rsid w:val="00CA0968"/>
    <w:rsid w:val="00CA0B3D"/>
    <w:rsid w:val="00CA0CB4"/>
    <w:rsid w:val="00CA14C5"/>
    <w:rsid w:val="00CA1728"/>
    <w:rsid w:val="00CA181F"/>
    <w:rsid w:val="00CA1A43"/>
    <w:rsid w:val="00CA1E98"/>
    <w:rsid w:val="00CA22F0"/>
    <w:rsid w:val="00CA277A"/>
    <w:rsid w:val="00CA2BF1"/>
    <w:rsid w:val="00CA2C05"/>
    <w:rsid w:val="00CA343A"/>
    <w:rsid w:val="00CA34B5"/>
    <w:rsid w:val="00CA36DD"/>
    <w:rsid w:val="00CA39C9"/>
    <w:rsid w:val="00CA44E2"/>
    <w:rsid w:val="00CA46A9"/>
    <w:rsid w:val="00CA51A5"/>
    <w:rsid w:val="00CA5FCA"/>
    <w:rsid w:val="00CA6470"/>
    <w:rsid w:val="00CA76A1"/>
    <w:rsid w:val="00CA7AD9"/>
    <w:rsid w:val="00CB0EC9"/>
    <w:rsid w:val="00CB1131"/>
    <w:rsid w:val="00CB1959"/>
    <w:rsid w:val="00CB1A17"/>
    <w:rsid w:val="00CB1D39"/>
    <w:rsid w:val="00CB1D99"/>
    <w:rsid w:val="00CB25D3"/>
    <w:rsid w:val="00CB2C36"/>
    <w:rsid w:val="00CB32D5"/>
    <w:rsid w:val="00CB32D9"/>
    <w:rsid w:val="00CB3D60"/>
    <w:rsid w:val="00CB3E2F"/>
    <w:rsid w:val="00CB3EDD"/>
    <w:rsid w:val="00CB54C8"/>
    <w:rsid w:val="00CB5612"/>
    <w:rsid w:val="00CB5ACA"/>
    <w:rsid w:val="00CB5B0E"/>
    <w:rsid w:val="00CB6327"/>
    <w:rsid w:val="00CB68E8"/>
    <w:rsid w:val="00CB6DEA"/>
    <w:rsid w:val="00CB7187"/>
    <w:rsid w:val="00CB71FC"/>
    <w:rsid w:val="00CB799B"/>
    <w:rsid w:val="00CC0138"/>
    <w:rsid w:val="00CC0A6B"/>
    <w:rsid w:val="00CC0B7F"/>
    <w:rsid w:val="00CC0C46"/>
    <w:rsid w:val="00CC0CA4"/>
    <w:rsid w:val="00CC163A"/>
    <w:rsid w:val="00CC16F5"/>
    <w:rsid w:val="00CC219A"/>
    <w:rsid w:val="00CC2572"/>
    <w:rsid w:val="00CC331F"/>
    <w:rsid w:val="00CC3543"/>
    <w:rsid w:val="00CC3DAC"/>
    <w:rsid w:val="00CC3F77"/>
    <w:rsid w:val="00CC494F"/>
    <w:rsid w:val="00CC496A"/>
    <w:rsid w:val="00CC53DE"/>
    <w:rsid w:val="00CC5C80"/>
    <w:rsid w:val="00CC5E3E"/>
    <w:rsid w:val="00CC6335"/>
    <w:rsid w:val="00CC6ABB"/>
    <w:rsid w:val="00CC7180"/>
    <w:rsid w:val="00CC7781"/>
    <w:rsid w:val="00CC7C54"/>
    <w:rsid w:val="00CC7EB2"/>
    <w:rsid w:val="00CD03DC"/>
    <w:rsid w:val="00CD03F9"/>
    <w:rsid w:val="00CD0D81"/>
    <w:rsid w:val="00CD164A"/>
    <w:rsid w:val="00CD1BA3"/>
    <w:rsid w:val="00CD2402"/>
    <w:rsid w:val="00CD25C7"/>
    <w:rsid w:val="00CD2679"/>
    <w:rsid w:val="00CD2A1F"/>
    <w:rsid w:val="00CD2C32"/>
    <w:rsid w:val="00CD2CE4"/>
    <w:rsid w:val="00CD3336"/>
    <w:rsid w:val="00CD36CD"/>
    <w:rsid w:val="00CD3729"/>
    <w:rsid w:val="00CD41C6"/>
    <w:rsid w:val="00CD4204"/>
    <w:rsid w:val="00CD4C39"/>
    <w:rsid w:val="00CD5271"/>
    <w:rsid w:val="00CD5BA5"/>
    <w:rsid w:val="00CD5C55"/>
    <w:rsid w:val="00CD62EB"/>
    <w:rsid w:val="00CD6378"/>
    <w:rsid w:val="00CD669B"/>
    <w:rsid w:val="00CD6FAC"/>
    <w:rsid w:val="00CD7951"/>
    <w:rsid w:val="00CD7AD0"/>
    <w:rsid w:val="00CD7BC1"/>
    <w:rsid w:val="00CE0136"/>
    <w:rsid w:val="00CE05BD"/>
    <w:rsid w:val="00CE10EE"/>
    <w:rsid w:val="00CE1CDB"/>
    <w:rsid w:val="00CE1FD1"/>
    <w:rsid w:val="00CE36D5"/>
    <w:rsid w:val="00CE420D"/>
    <w:rsid w:val="00CE4945"/>
    <w:rsid w:val="00CE4C40"/>
    <w:rsid w:val="00CE517B"/>
    <w:rsid w:val="00CE5866"/>
    <w:rsid w:val="00CE59A0"/>
    <w:rsid w:val="00CE5F91"/>
    <w:rsid w:val="00CE6BF7"/>
    <w:rsid w:val="00CE70DF"/>
    <w:rsid w:val="00CF004E"/>
    <w:rsid w:val="00CF0629"/>
    <w:rsid w:val="00CF0909"/>
    <w:rsid w:val="00CF0B39"/>
    <w:rsid w:val="00CF13EF"/>
    <w:rsid w:val="00CF1B30"/>
    <w:rsid w:val="00CF1BCD"/>
    <w:rsid w:val="00CF1D9D"/>
    <w:rsid w:val="00CF1DE8"/>
    <w:rsid w:val="00CF228D"/>
    <w:rsid w:val="00CF22EA"/>
    <w:rsid w:val="00CF3332"/>
    <w:rsid w:val="00CF35A0"/>
    <w:rsid w:val="00CF39DE"/>
    <w:rsid w:val="00CF3A02"/>
    <w:rsid w:val="00CF41E4"/>
    <w:rsid w:val="00CF43A1"/>
    <w:rsid w:val="00CF4768"/>
    <w:rsid w:val="00CF6660"/>
    <w:rsid w:val="00CF67CB"/>
    <w:rsid w:val="00CF7436"/>
    <w:rsid w:val="00CF7864"/>
    <w:rsid w:val="00CF7D52"/>
    <w:rsid w:val="00CF7F4B"/>
    <w:rsid w:val="00CF7FB0"/>
    <w:rsid w:val="00D00007"/>
    <w:rsid w:val="00D00DDE"/>
    <w:rsid w:val="00D0111C"/>
    <w:rsid w:val="00D01A03"/>
    <w:rsid w:val="00D02103"/>
    <w:rsid w:val="00D03057"/>
    <w:rsid w:val="00D033C2"/>
    <w:rsid w:val="00D0385B"/>
    <w:rsid w:val="00D0416E"/>
    <w:rsid w:val="00D048B4"/>
    <w:rsid w:val="00D048D7"/>
    <w:rsid w:val="00D049AA"/>
    <w:rsid w:val="00D04E8D"/>
    <w:rsid w:val="00D055A9"/>
    <w:rsid w:val="00D05722"/>
    <w:rsid w:val="00D05E28"/>
    <w:rsid w:val="00D06092"/>
    <w:rsid w:val="00D06450"/>
    <w:rsid w:val="00D067BA"/>
    <w:rsid w:val="00D06B17"/>
    <w:rsid w:val="00D06F4F"/>
    <w:rsid w:val="00D07832"/>
    <w:rsid w:val="00D0784E"/>
    <w:rsid w:val="00D0786C"/>
    <w:rsid w:val="00D078ED"/>
    <w:rsid w:val="00D10339"/>
    <w:rsid w:val="00D10932"/>
    <w:rsid w:val="00D10CEA"/>
    <w:rsid w:val="00D10D50"/>
    <w:rsid w:val="00D10DBF"/>
    <w:rsid w:val="00D10E71"/>
    <w:rsid w:val="00D11066"/>
    <w:rsid w:val="00D119CA"/>
    <w:rsid w:val="00D1280D"/>
    <w:rsid w:val="00D12E00"/>
    <w:rsid w:val="00D1327E"/>
    <w:rsid w:val="00D13CC9"/>
    <w:rsid w:val="00D144E2"/>
    <w:rsid w:val="00D14B6C"/>
    <w:rsid w:val="00D15994"/>
    <w:rsid w:val="00D162A3"/>
    <w:rsid w:val="00D16A10"/>
    <w:rsid w:val="00D16CA5"/>
    <w:rsid w:val="00D173C5"/>
    <w:rsid w:val="00D1744E"/>
    <w:rsid w:val="00D17522"/>
    <w:rsid w:val="00D1758F"/>
    <w:rsid w:val="00D177F2"/>
    <w:rsid w:val="00D17CFC"/>
    <w:rsid w:val="00D2005C"/>
    <w:rsid w:val="00D203BE"/>
    <w:rsid w:val="00D2074C"/>
    <w:rsid w:val="00D212F0"/>
    <w:rsid w:val="00D21353"/>
    <w:rsid w:val="00D224BA"/>
    <w:rsid w:val="00D229BF"/>
    <w:rsid w:val="00D23891"/>
    <w:rsid w:val="00D238D2"/>
    <w:rsid w:val="00D23B00"/>
    <w:rsid w:val="00D23F9F"/>
    <w:rsid w:val="00D24007"/>
    <w:rsid w:val="00D241B5"/>
    <w:rsid w:val="00D242C7"/>
    <w:rsid w:val="00D24B4F"/>
    <w:rsid w:val="00D24C8A"/>
    <w:rsid w:val="00D2527D"/>
    <w:rsid w:val="00D259C4"/>
    <w:rsid w:val="00D25CE5"/>
    <w:rsid w:val="00D25FA9"/>
    <w:rsid w:val="00D2609F"/>
    <w:rsid w:val="00D2648B"/>
    <w:rsid w:val="00D269BE"/>
    <w:rsid w:val="00D269DD"/>
    <w:rsid w:val="00D26B31"/>
    <w:rsid w:val="00D273E3"/>
    <w:rsid w:val="00D2786D"/>
    <w:rsid w:val="00D278D5"/>
    <w:rsid w:val="00D279E3"/>
    <w:rsid w:val="00D30523"/>
    <w:rsid w:val="00D30782"/>
    <w:rsid w:val="00D30D13"/>
    <w:rsid w:val="00D30D52"/>
    <w:rsid w:val="00D31483"/>
    <w:rsid w:val="00D318A3"/>
    <w:rsid w:val="00D3231E"/>
    <w:rsid w:val="00D32D6E"/>
    <w:rsid w:val="00D32F2E"/>
    <w:rsid w:val="00D33246"/>
    <w:rsid w:val="00D33967"/>
    <w:rsid w:val="00D33B20"/>
    <w:rsid w:val="00D33CCE"/>
    <w:rsid w:val="00D34301"/>
    <w:rsid w:val="00D3438E"/>
    <w:rsid w:val="00D3475E"/>
    <w:rsid w:val="00D347C1"/>
    <w:rsid w:val="00D34B87"/>
    <w:rsid w:val="00D34C58"/>
    <w:rsid w:val="00D3572D"/>
    <w:rsid w:val="00D35BC7"/>
    <w:rsid w:val="00D35FC5"/>
    <w:rsid w:val="00D36168"/>
    <w:rsid w:val="00D361F7"/>
    <w:rsid w:val="00D363A6"/>
    <w:rsid w:val="00D37770"/>
    <w:rsid w:val="00D37CEC"/>
    <w:rsid w:val="00D37DD6"/>
    <w:rsid w:val="00D406C6"/>
    <w:rsid w:val="00D409B4"/>
    <w:rsid w:val="00D40C1A"/>
    <w:rsid w:val="00D41069"/>
    <w:rsid w:val="00D41245"/>
    <w:rsid w:val="00D41808"/>
    <w:rsid w:val="00D41CCF"/>
    <w:rsid w:val="00D41FE1"/>
    <w:rsid w:val="00D4238B"/>
    <w:rsid w:val="00D42403"/>
    <w:rsid w:val="00D42430"/>
    <w:rsid w:val="00D42649"/>
    <w:rsid w:val="00D42A09"/>
    <w:rsid w:val="00D42B5E"/>
    <w:rsid w:val="00D42B83"/>
    <w:rsid w:val="00D42C21"/>
    <w:rsid w:val="00D433F2"/>
    <w:rsid w:val="00D43759"/>
    <w:rsid w:val="00D43AFF"/>
    <w:rsid w:val="00D43D20"/>
    <w:rsid w:val="00D43F8D"/>
    <w:rsid w:val="00D444DB"/>
    <w:rsid w:val="00D44865"/>
    <w:rsid w:val="00D4513B"/>
    <w:rsid w:val="00D45265"/>
    <w:rsid w:val="00D45810"/>
    <w:rsid w:val="00D45998"/>
    <w:rsid w:val="00D45A33"/>
    <w:rsid w:val="00D4667A"/>
    <w:rsid w:val="00D468AF"/>
    <w:rsid w:val="00D46D4D"/>
    <w:rsid w:val="00D46FD5"/>
    <w:rsid w:val="00D474FB"/>
    <w:rsid w:val="00D47F5B"/>
    <w:rsid w:val="00D506EE"/>
    <w:rsid w:val="00D50D4C"/>
    <w:rsid w:val="00D50ED0"/>
    <w:rsid w:val="00D512D0"/>
    <w:rsid w:val="00D51644"/>
    <w:rsid w:val="00D51B6E"/>
    <w:rsid w:val="00D51FE3"/>
    <w:rsid w:val="00D521BE"/>
    <w:rsid w:val="00D52BFB"/>
    <w:rsid w:val="00D52D3F"/>
    <w:rsid w:val="00D530AA"/>
    <w:rsid w:val="00D531A2"/>
    <w:rsid w:val="00D53358"/>
    <w:rsid w:val="00D533F5"/>
    <w:rsid w:val="00D5341D"/>
    <w:rsid w:val="00D53670"/>
    <w:rsid w:val="00D53723"/>
    <w:rsid w:val="00D53E49"/>
    <w:rsid w:val="00D543FE"/>
    <w:rsid w:val="00D55005"/>
    <w:rsid w:val="00D555BC"/>
    <w:rsid w:val="00D5566E"/>
    <w:rsid w:val="00D55913"/>
    <w:rsid w:val="00D561E3"/>
    <w:rsid w:val="00D56294"/>
    <w:rsid w:val="00D564E9"/>
    <w:rsid w:val="00D5687A"/>
    <w:rsid w:val="00D568CF"/>
    <w:rsid w:val="00D57341"/>
    <w:rsid w:val="00D5777F"/>
    <w:rsid w:val="00D57D41"/>
    <w:rsid w:val="00D601D9"/>
    <w:rsid w:val="00D604A7"/>
    <w:rsid w:val="00D604D0"/>
    <w:rsid w:val="00D6086D"/>
    <w:rsid w:val="00D60AFC"/>
    <w:rsid w:val="00D60D22"/>
    <w:rsid w:val="00D6102C"/>
    <w:rsid w:val="00D6198A"/>
    <w:rsid w:val="00D61AFA"/>
    <w:rsid w:val="00D61E86"/>
    <w:rsid w:val="00D630F5"/>
    <w:rsid w:val="00D631BA"/>
    <w:rsid w:val="00D63323"/>
    <w:rsid w:val="00D63344"/>
    <w:rsid w:val="00D6336F"/>
    <w:rsid w:val="00D63C9D"/>
    <w:rsid w:val="00D642E1"/>
    <w:rsid w:val="00D643C9"/>
    <w:rsid w:val="00D643E9"/>
    <w:rsid w:val="00D64564"/>
    <w:rsid w:val="00D65444"/>
    <w:rsid w:val="00D65763"/>
    <w:rsid w:val="00D65B84"/>
    <w:rsid w:val="00D65D13"/>
    <w:rsid w:val="00D65E74"/>
    <w:rsid w:val="00D6603D"/>
    <w:rsid w:val="00D66B13"/>
    <w:rsid w:val="00D66BAA"/>
    <w:rsid w:val="00D66D20"/>
    <w:rsid w:val="00D673F5"/>
    <w:rsid w:val="00D674C8"/>
    <w:rsid w:val="00D6759F"/>
    <w:rsid w:val="00D6776B"/>
    <w:rsid w:val="00D679DB"/>
    <w:rsid w:val="00D703F0"/>
    <w:rsid w:val="00D70448"/>
    <w:rsid w:val="00D7061F"/>
    <w:rsid w:val="00D70F27"/>
    <w:rsid w:val="00D71997"/>
    <w:rsid w:val="00D72531"/>
    <w:rsid w:val="00D72658"/>
    <w:rsid w:val="00D72747"/>
    <w:rsid w:val="00D72D79"/>
    <w:rsid w:val="00D72FC9"/>
    <w:rsid w:val="00D732EC"/>
    <w:rsid w:val="00D734F5"/>
    <w:rsid w:val="00D73550"/>
    <w:rsid w:val="00D74D96"/>
    <w:rsid w:val="00D74EFF"/>
    <w:rsid w:val="00D75835"/>
    <w:rsid w:val="00D75C70"/>
    <w:rsid w:val="00D75EFA"/>
    <w:rsid w:val="00D765D5"/>
    <w:rsid w:val="00D76D0B"/>
    <w:rsid w:val="00D76E10"/>
    <w:rsid w:val="00D77C4A"/>
    <w:rsid w:val="00D77CCE"/>
    <w:rsid w:val="00D77FF7"/>
    <w:rsid w:val="00D806FC"/>
    <w:rsid w:val="00D80A2D"/>
    <w:rsid w:val="00D80B3A"/>
    <w:rsid w:val="00D80D85"/>
    <w:rsid w:val="00D80EC8"/>
    <w:rsid w:val="00D8168E"/>
    <w:rsid w:val="00D8218A"/>
    <w:rsid w:val="00D824C9"/>
    <w:rsid w:val="00D82F8D"/>
    <w:rsid w:val="00D82FF3"/>
    <w:rsid w:val="00D83117"/>
    <w:rsid w:val="00D83563"/>
    <w:rsid w:val="00D83571"/>
    <w:rsid w:val="00D83894"/>
    <w:rsid w:val="00D83FD0"/>
    <w:rsid w:val="00D840FC"/>
    <w:rsid w:val="00D84991"/>
    <w:rsid w:val="00D84F9E"/>
    <w:rsid w:val="00D851E2"/>
    <w:rsid w:val="00D8564C"/>
    <w:rsid w:val="00D85990"/>
    <w:rsid w:val="00D85D73"/>
    <w:rsid w:val="00D861ED"/>
    <w:rsid w:val="00D86317"/>
    <w:rsid w:val="00D86397"/>
    <w:rsid w:val="00D86643"/>
    <w:rsid w:val="00D869CA"/>
    <w:rsid w:val="00D87A3C"/>
    <w:rsid w:val="00D90357"/>
    <w:rsid w:val="00D904D5"/>
    <w:rsid w:val="00D90A06"/>
    <w:rsid w:val="00D90A69"/>
    <w:rsid w:val="00D90CEE"/>
    <w:rsid w:val="00D912D2"/>
    <w:rsid w:val="00D91412"/>
    <w:rsid w:val="00D915BF"/>
    <w:rsid w:val="00D91B11"/>
    <w:rsid w:val="00D92006"/>
    <w:rsid w:val="00D92030"/>
    <w:rsid w:val="00D925BA"/>
    <w:rsid w:val="00D927E6"/>
    <w:rsid w:val="00D92A63"/>
    <w:rsid w:val="00D9375D"/>
    <w:rsid w:val="00D94AE5"/>
    <w:rsid w:val="00D94AEA"/>
    <w:rsid w:val="00D94B76"/>
    <w:rsid w:val="00D94D7B"/>
    <w:rsid w:val="00D94F3E"/>
    <w:rsid w:val="00D94F72"/>
    <w:rsid w:val="00D95178"/>
    <w:rsid w:val="00D95736"/>
    <w:rsid w:val="00D95809"/>
    <w:rsid w:val="00D96098"/>
    <w:rsid w:val="00D96686"/>
    <w:rsid w:val="00D9690A"/>
    <w:rsid w:val="00D96F22"/>
    <w:rsid w:val="00D97134"/>
    <w:rsid w:val="00D9738A"/>
    <w:rsid w:val="00D97952"/>
    <w:rsid w:val="00D97D62"/>
    <w:rsid w:val="00DA08E3"/>
    <w:rsid w:val="00DA0E31"/>
    <w:rsid w:val="00DA169E"/>
    <w:rsid w:val="00DA1785"/>
    <w:rsid w:val="00DA18A3"/>
    <w:rsid w:val="00DA193E"/>
    <w:rsid w:val="00DA21BF"/>
    <w:rsid w:val="00DA34E7"/>
    <w:rsid w:val="00DA3755"/>
    <w:rsid w:val="00DA3BF2"/>
    <w:rsid w:val="00DA3C0D"/>
    <w:rsid w:val="00DA5669"/>
    <w:rsid w:val="00DA796F"/>
    <w:rsid w:val="00DA7C6B"/>
    <w:rsid w:val="00DA7DAD"/>
    <w:rsid w:val="00DA7E67"/>
    <w:rsid w:val="00DB018B"/>
    <w:rsid w:val="00DB0615"/>
    <w:rsid w:val="00DB07AC"/>
    <w:rsid w:val="00DB0860"/>
    <w:rsid w:val="00DB0A2D"/>
    <w:rsid w:val="00DB0E22"/>
    <w:rsid w:val="00DB10B9"/>
    <w:rsid w:val="00DB1486"/>
    <w:rsid w:val="00DB1518"/>
    <w:rsid w:val="00DB1AA9"/>
    <w:rsid w:val="00DB2166"/>
    <w:rsid w:val="00DB3116"/>
    <w:rsid w:val="00DB342E"/>
    <w:rsid w:val="00DB399C"/>
    <w:rsid w:val="00DB3D0E"/>
    <w:rsid w:val="00DB56A8"/>
    <w:rsid w:val="00DB6CF4"/>
    <w:rsid w:val="00DB6E06"/>
    <w:rsid w:val="00DB70AE"/>
    <w:rsid w:val="00DB7C3C"/>
    <w:rsid w:val="00DC02BF"/>
    <w:rsid w:val="00DC07FE"/>
    <w:rsid w:val="00DC0841"/>
    <w:rsid w:val="00DC1426"/>
    <w:rsid w:val="00DC146E"/>
    <w:rsid w:val="00DC1AF8"/>
    <w:rsid w:val="00DC201C"/>
    <w:rsid w:val="00DC238C"/>
    <w:rsid w:val="00DC250D"/>
    <w:rsid w:val="00DC26F7"/>
    <w:rsid w:val="00DC2760"/>
    <w:rsid w:val="00DC2F6C"/>
    <w:rsid w:val="00DC38DE"/>
    <w:rsid w:val="00DC3F4B"/>
    <w:rsid w:val="00DC404C"/>
    <w:rsid w:val="00DC4608"/>
    <w:rsid w:val="00DC48B5"/>
    <w:rsid w:val="00DC4D3C"/>
    <w:rsid w:val="00DC4E56"/>
    <w:rsid w:val="00DC5693"/>
    <w:rsid w:val="00DC5DB5"/>
    <w:rsid w:val="00DC5E86"/>
    <w:rsid w:val="00DC5F64"/>
    <w:rsid w:val="00DC612A"/>
    <w:rsid w:val="00DC6A7C"/>
    <w:rsid w:val="00DC701F"/>
    <w:rsid w:val="00DC720E"/>
    <w:rsid w:val="00DC7803"/>
    <w:rsid w:val="00DD00D3"/>
    <w:rsid w:val="00DD0198"/>
    <w:rsid w:val="00DD044E"/>
    <w:rsid w:val="00DD0D3C"/>
    <w:rsid w:val="00DD0E96"/>
    <w:rsid w:val="00DD1503"/>
    <w:rsid w:val="00DD162A"/>
    <w:rsid w:val="00DD1745"/>
    <w:rsid w:val="00DD184B"/>
    <w:rsid w:val="00DD1C75"/>
    <w:rsid w:val="00DD2379"/>
    <w:rsid w:val="00DD3732"/>
    <w:rsid w:val="00DD3815"/>
    <w:rsid w:val="00DD3D64"/>
    <w:rsid w:val="00DD3D7C"/>
    <w:rsid w:val="00DD44C4"/>
    <w:rsid w:val="00DD470C"/>
    <w:rsid w:val="00DD4738"/>
    <w:rsid w:val="00DD476C"/>
    <w:rsid w:val="00DD4B59"/>
    <w:rsid w:val="00DD4C85"/>
    <w:rsid w:val="00DD519F"/>
    <w:rsid w:val="00DD5F1E"/>
    <w:rsid w:val="00DD64FA"/>
    <w:rsid w:val="00DD68BB"/>
    <w:rsid w:val="00DD690D"/>
    <w:rsid w:val="00DD77E5"/>
    <w:rsid w:val="00DE059E"/>
    <w:rsid w:val="00DE06C2"/>
    <w:rsid w:val="00DE0B6F"/>
    <w:rsid w:val="00DE0E53"/>
    <w:rsid w:val="00DE0FAD"/>
    <w:rsid w:val="00DE20D3"/>
    <w:rsid w:val="00DE216D"/>
    <w:rsid w:val="00DE2924"/>
    <w:rsid w:val="00DE3829"/>
    <w:rsid w:val="00DE4059"/>
    <w:rsid w:val="00DE4153"/>
    <w:rsid w:val="00DE4272"/>
    <w:rsid w:val="00DE42A0"/>
    <w:rsid w:val="00DE45BE"/>
    <w:rsid w:val="00DE4734"/>
    <w:rsid w:val="00DE4B28"/>
    <w:rsid w:val="00DE4C99"/>
    <w:rsid w:val="00DE51E4"/>
    <w:rsid w:val="00DE5C69"/>
    <w:rsid w:val="00DE5EC6"/>
    <w:rsid w:val="00DE6040"/>
    <w:rsid w:val="00DE66D1"/>
    <w:rsid w:val="00DE69B4"/>
    <w:rsid w:val="00DE6E65"/>
    <w:rsid w:val="00DE6FB2"/>
    <w:rsid w:val="00DE7B90"/>
    <w:rsid w:val="00DE7F4B"/>
    <w:rsid w:val="00DF056D"/>
    <w:rsid w:val="00DF072E"/>
    <w:rsid w:val="00DF0ABC"/>
    <w:rsid w:val="00DF1272"/>
    <w:rsid w:val="00DF1305"/>
    <w:rsid w:val="00DF136C"/>
    <w:rsid w:val="00DF1865"/>
    <w:rsid w:val="00DF19FF"/>
    <w:rsid w:val="00DF206C"/>
    <w:rsid w:val="00DF2CBA"/>
    <w:rsid w:val="00DF2EE3"/>
    <w:rsid w:val="00DF356C"/>
    <w:rsid w:val="00DF365D"/>
    <w:rsid w:val="00DF39EF"/>
    <w:rsid w:val="00DF3CCD"/>
    <w:rsid w:val="00DF3DD2"/>
    <w:rsid w:val="00DF3FC5"/>
    <w:rsid w:val="00DF411E"/>
    <w:rsid w:val="00DF4315"/>
    <w:rsid w:val="00DF4A70"/>
    <w:rsid w:val="00DF67D1"/>
    <w:rsid w:val="00DF6A60"/>
    <w:rsid w:val="00DF6CDC"/>
    <w:rsid w:val="00DF6D07"/>
    <w:rsid w:val="00DF762E"/>
    <w:rsid w:val="00DF7833"/>
    <w:rsid w:val="00DF7D37"/>
    <w:rsid w:val="00DF7FA6"/>
    <w:rsid w:val="00E00536"/>
    <w:rsid w:val="00E005B3"/>
    <w:rsid w:val="00E00AD1"/>
    <w:rsid w:val="00E00D0E"/>
    <w:rsid w:val="00E00D93"/>
    <w:rsid w:val="00E010CA"/>
    <w:rsid w:val="00E0193E"/>
    <w:rsid w:val="00E0193F"/>
    <w:rsid w:val="00E01FD3"/>
    <w:rsid w:val="00E0229F"/>
    <w:rsid w:val="00E022B7"/>
    <w:rsid w:val="00E02416"/>
    <w:rsid w:val="00E02C6B"/>
    <w:rsid w:val="00E02D18"/>
    <w:rsid w:val="00E031E3"/>
    <w:rsid w:val="00E034A0"/>
    <w:rsid w:val="00E03963"/>
    <w:rsid w:val="00E03B48"/>
    <w:rsid w:val="00E03C78"/>
    <w:rsid w:val="00E041CA"/>
    <w:rsid w:val="00E0477E"/>
    <w:rsid w:val="00E048D5"/>
    <w:rsid w:val="00E0493E"/>
    <w:rsid w:val="00E049CD"/>
    <w:rsid w:val="00E04C58"/>
    <w:rsid w:val="00E05358"/>
    <w:rsid w:val="00E055F9"/>
    <w:rsid w:val="00E05785"/>
    <w:rsid w:val="00E05D79"/>
    <w:rsid w:val="00E064F9"/>
    <w:rsid w:val="00E06848"/>
    <w:rsid w:val="00E069CA"/>
    <w:rsid w:val="00E07647"/>
    <w:rsid w:val="00E07C23"/>
    <w:rsid w:val="00E10245"/>
    <w:rsid w:val="00E10663"/>
    <w:rsid w:val="00E11023"/>
    <w:rsid w:val="00E110AC"/>
    <w:rsid w:val="00E118CF"/>
    <w:rsid w:val="00E11DC1"/>
    <w:rsid w:val="00E12B3A"/>
    <w:rsid w:val="00E13147"/>
    <w:rsid w:val="00E14113"/>
    <w:rsid w:val="00E14A3F"/>
    <w:rsid w:val="00E14B85"/>
    <w:rsid w:val="00E14C8A"/>
    <w:rsid w:val="00E14F07"/>
    <w:rsid w:val="00E14F2D"/>
    <w:rsid w:val="00E153EC"/>
    <w:rsid w:val="00E1541D"/>
    <w:rsid w:val="00E15813"/>
    <w:rsid w:val="00E15AEF"/>
    <w:rsid w:val="00E15B23"/>
    <w:rsid w:val="00E165A4"/>
    <w:rsid w:val="00E16838"/>
    <w:rsid w:val="00E16B54"/>
    <w:rsid w:val="00E16E33"/>
    <w:rsid w:val="00E16E56"/>
    <w:rsid w:val="00E16E75"/>
    <w:rsid w:val="00E172E9"/>
    <w:rsid w:val="00E17488"/>
    <w:rsid w:val="00E17F75"/>
    <w:rsid w:val="00E20148"/>
    <w:rsid w:val="00E20BDD"/>
    <w:rsid w:val="00E2125D"/>
    <w:rsid w:val="00E214F3"/>
    <w:rsid w:val="00E21FE5"/>
    <w:rsid w:val="00E221EE"/>
    <w:rsid w:val="00E22DD2"/>
    <w:rsid w:val="00E235D5"/>
    <w:rsid w:val="00E23683"/>
    <w:rsid w:val="00E238DD"/>
    <w:rsid w:val="00E23903"/>
    <w:rsid w:val="00E23ABB"/>
    <w:rsid w:val="00E23B86"/>
    <w:rsid w:val="00E24203"/>
    <w:rsid w:val="00E25421"/>
    <w:rsid w:val="00E259AE"/>
    <w:rsid w:val="00E25FBE"/>
    <w:rsid w:val="00E26B45"/>
    <w:rsid w:val="00E26BAF"/>
    <w:rsid w:val="00E272F1"/>
    <w:rsid w:val="00E27554"/>
    <w:rsid w:val="00E27B28"/>
    <w:rsid w:val="00E302F8"/>
    <w:rsid w:val="00E30E7E"/>
    <w:rsid w:val="00E31565"/>
    <w:rsid w:val="00E31952"/>
    <w:rsid w:val="00E31B1E"/>
    <w:rsid w:val="00E31C8E"/>
    <w:rsid w:val="00E31DA0"/>
    <w:rsid w:val="00E323B9"/>
    <w:rsid w:val="00E32DD1"/>
    <w:rsid w:val="00E33295"/>
    <w:rsid w:val="00E33AC2"/>
    <w:rsid w:val="00E33BFC"/>
    <w:rsid w:val="00E34287"/>
    <w:rsid w:val="00E34440"/>
    <w:rsid w:val="00E34DA6"/>
    <w:rsid w:val="00E34E2E"/>
    <w:rsid w:val="00E34E37"/>
    <w:rsid w:val="00E34EE0"/>
    <w:rsid w:val="00E35747"/>
    <w:rsid w:val="00E3577F"/>
    <w:rsid w:val="00E35982"/>
    <w:rsid w:val="00E35D3B"/>
    <w:rsid w:val="00E35EAA"/>
    <w:rsid w:val="00E3655B"/>
    <w:rsid w:val="00E367D6"/>
    <w:rsid w:val="00E3697F"/>
    <w:rsid w:val="00E36AE8"/>
    <w:rsid w:val="00E36BB8"/>
    <w:rsid w:val="00E36C29"/>
    <w:rsid w:val="00E37191"/>
    <w:rsid w:val="00E372BE"/>
    <w:rsid w:val="00E409C6"/>
    <w:rsid w:val="00E40AC5"/>
    <w:rsid w:val="00E40E5A"/>
    <w:rsid w:val="00E40EC0"/>
    <w:rsid w:val="00E40F5F"/>
    <w:rsid w:val="00E41193"/>
    <w:rsid w:val="00E413CA"/>
    <w:rsid w:val="00E41641"/>
    <w:rsid w:val="00E41670"/>
    <w:rsid w:val="00E41676"/>
    <w:rsid w:val="00E41A49"/>
    <w:rsid w:val="00E41CB3"/>
    <w:rsid w:val="00E41D49"/>
    <w:rsid w:val="00E41FF2"/>
    <w:rsid w:val="00E42CBB"/>
    <w:rsid w:val="00E43BB2"/>
    <w:rsid w:val="00E44483"/>
    <w:rsid w:val="00E450EE"/>
    <w:rsid w:val="00E45337"/>
    <w:rsid w:val="00E455FC"/>
    <w:rsid w:val="00E45F51"/>
    <w:rsid w:val="00E46E46"/>
    <w:rsid w:val="00E46F2A"/>
    <w:rsid w:val="00E47C80"/>
    <w:rsid w:val="00E47D44"/>
    <w:rsid w:val="00E47E9B"/>
    <w:rsid w:val="00E5071C"/>
    <w:rsid w:val="00E5096A"/>
    <w:rsid w:val="00E50D43"/>
    <w:rsid w:val="00E50D47"/>
    <w:rsid w:val="00E50DEA"/>
    <w:rsid w:val="00E50E7D"/>
    <w:rsid w:val="00E51AEF"/>
    <w:rsid w:val="00E5204A"/>
    <w:rsid w:val="00E52149"/>
    <w:rsid w:val="00E52AF5"/>
    <w:rsid w:val="00E52D7A"/>
    <w:rsid w:val="00E53356"/>
    <w:rsid w:val="00E53A66"/>
    <w:rsid w:val="00E53AA0"/>
    <w:rsid w:val="00E540F8"/>
    <w:rsid w:val="00E5430F"/>
    <w:rsid w:val="00E54DB0"/>
    <w:rsid w:val="00E55CE9"/>
    <w:rsid w:val="00E5678B"/>
    <w:rsid w:val="00E56AA6"/>
    <w:rsid w:val="00E57638"/>
    <w:rsid w:val="00E57B62"/>
    <w:rsid w:val="00E57C25"/>
    <w:rsid w:val="00E60156"/>
    <w:rsid w:val="00E60169"/>
    <w:rsid w:val="00E606D4"/>
    <w:rsid w:val="00E60BEF"/>
    <w:rsid w:val="00E60CD4"/>
    <w:rsid w:val="00E60EA1"/>
    <w:rsid w:val="00E61634"/>
    <w:rsid w:val="00E619B9"/>
    <w:rsid w:val="00E61C29"/>
    <w:rsid w:val="00E622A6"/>
    <w:rsid w:val="00E62300"/>
    <w:rsid w:val="00E62745"/>
    <w:rsid w:val="00E63EAC"/>
    <w:rsid w:val="00E640AA"/>
    <w:rsid w:val="00E6449A"/>
    <w:rsid w:val="00E64A6B"/>
    <w:rsid w:val="00E65143"/>
    <w:rsid w:val="00E654E0"/>
    <w:rsid w:val="00E65C40"/>
    <w:rsid w:val="00E66AC7"/>
    <w:rsid w:val="00E66B9F"/>
    <w:rsid w:val="00E66C19"/>
    <w:rsid w:val="00E66C63"/>
    <w:rsid w:val="00E66D50"/>
    <w:rsid w:val="00E67164"/>
    <w:rsid w:val="00E67922"/>
    <w:rsid w:val="00E67AEB"/>
    <w:rsid w:val="00E67C86"/>
    <w:rsid w:val="00E7024D"/>
    <w:rsid w:val="00E70413"/>
    <w:rsid w:val="00E70745"/>
    <w:rsid w:val="00E7092B"/>
    <w:rsid w:val="00E70A09"/>
    <w:rsid w:val="00E70A67"/>
    <w:rsid w:val="00E70CD2"/>
    <w:rsid w:val="00E712CC"/>
    <w:rsid w:val="00E724AB"/>
    <w:rsid w:val="00E72995"/>
    <w:rsid w:val="00E72AD8"/>
    <w:rsid w:val="00E72C19"/>
    <w:rsid w:val="00E72EEF"/>
    <w:rsid w:val="00E732F5"/>
    <w:rsid w:val="00E734C3"/>
    <w:rsid w:val="00E73576"/>
    <w:rsid w:val="00E7447B"/>
    <w:rsid w:val="00E744C2"/>
    <w:rsid w:val="00E746C5"/>
    <w:rsid w:val="00E748D8"/>
    <w:rsid w:val="00E74D94"/>
    <w:rsid w:val="00E74E78"/>
    <w:rsid w:val="00E75015"/>
    <w:rsid w:val="00E750BD"/>
    <w:rsid w:val="00E7517B"/>
    <w:rsid w:val="00E75359"/>
    <w:rsid w:val="00E7563A"/>
    <w:rsid w:val="00E762AF"/>
    <w:rsid w:val="00E767FF"/>
    <w:rsid w:val="00E77384"/>
    <w:rsid w:val="00E775C6"/>
    <w:rsid w:val="00E7772C"/>
    <w:rsid w:val="00E77911"/>
    <w:rsid w:val="00E77C86"/>
    <w:rsid w:val="00E77DB2"/>
    <w:rsid w:val="00E77F6A"/>
    <w:rsid w:val="00E80198"/>
    <w:rsid w:val="00E80558"/>
    <w:rsid w:val="00E80AC2"/>
    <w:rsid w:val="00E80D0F"/>
    <w:rsid w:val="00E80DC4"/>
    <w:rsid w:val="00E815C9"/>
    <w:rsid w:val="00E816B4"/>
    <w:rsid w:val="00E819BA"/>
    <w:rsid w:val="00E81E4F"/>
    <w:rsid w:val="00E8238A"/>
    <w:rsid w:val="00E827E5"/>
    <w:rsid w:val="00E8292D"/>
    <w:rsid w:val="00E82AE2"/>
    <w:rsid w:val="00E832C9"/>
    <w:rsid w:val="00E83307"/>
    <w:rsid w:val="00E83687"/>
    <w:rsid w:val="00E836AA"/>
    <w:rsid w:val="00E83A46"/>
    <w:rsid w:val="00E83B66"/>
    <w:rsid w:val="00E83BFD"/>
    <w:rsid w:val="00E83E04"/>
    <w:rsid w:val="00E83E37"/>
    <w:rsid w:val="00E842B0"/>
    <w:rsid w:val="00E843E5"/>
    <w:rsid w:val="00E84C93"/>
    <w:rsid w:val="00E84F2F"/>
    <w:rsid w:val="00E85677"/>
    <w:rsid w:val="00E85EA2"/>
    <w:rsid w:val="00E862C4"/>
    <w:rsid w:val="00E865B1"/>
    <w:rsid w:val="00E8685D"/>
    <w:rsid w:val="00E86E9A"/>
    <w:rsid w:val="00E87248"/>
    <w:rsid w:val="00E900B9"/>
    <w:rsid w:val="00E90119"/>
    <w:rsid w:val="00E90267"/>
    <w:rsid w:val="00E905F6"/>
    <w:rsid w:val="00E90760"/>
    <w:rsid w:val="00E9165D"/>
    <w:rsid w:val="00E9175A"/>
    <w:rsid w:val="00E9201B"/>
    <w:rsid w:val="00E927EF"/>
    <w:rsid w:val="00E92B10"/>
    <w:rsid w:val="00E92D19"/>
    <w:rsid w:val="00E92DDD"/>
    <w:rsid w:val="00E92E53"/>
    <w:rsid w:val="00E9333E"/>
    <w:rsid w:val="00E93354"/>
    <w:rsid w:val="00E93417"/>
    <w:rsid w:val="00E9344F"/>
    <w:rsid w:val="00E93B6E"/>
    <w:rsid w:val="00E9454B"/>
    <w:rsid w:val="00E95000"/>
    <w:rsid w:val="00E9528F"/>
    <w:rsid w:val="00E95A49"/>
    <w:rsid w:val="00E968CB"/>
    <w:rsid w:val="00E968FC"/>
    <w:rsid w:val="00E96F00"/>
    <w:rsid w:val="00E97719"/>
    <w:rsid w:val="00E97897"/>
    <w:rsid w:val="00E978B0"/>
    <w:rsid w:val="00EA02F4"/>
    <w:rsid w:val="00EA05B8"/>
    <w:rsid w:val="00EA0911"/>
    <w:rsid w:val="00EA0A1A"/>
    <w:rsid w:val="00EA0EE1"/>
    <w:rsid w:val="00EA1B11"/>
    <w:rsid w:val="00EA1E3A"/>
    <w:rsid w:val="00EA213A"/>
    <w:rsid w:val="00EA2486"/>
    <w:rsid w:val="00EA25AB"/>
    <w:rsid w:val="00EA26E7"/>
    <w:rsid w:val="00EA2E75"/>
    <w:rsid w:val="00EA306A"/>
    <w:rsid w:val="00EA314B"/>
    <w:rsid w:val="00EA35E3"/>
    <w:rsid w:val="00EA368B"/>
    <w:rsid w:val="00EA3781"/>
    <w:rsid w:val="00EA3B4F"/>
    <w:rsid w:val="00EA3BF2"/>
    <w:rsid w:val="00EA3C6E"/>
    <w:rsid w:val="00EA3EA4"/>
    <w:rsid w:val="00EA3F79"/>
    <w:rsid w:val="00EA413F"/>
    <w:rsid w:val="00EA42BE"/>
    <w:rsid w:val="00EA42D4"/>
    <w:rsid w:val="00EA42F2"/>
    <w:rsid w:val="00EA4744"/>
    <w:rsid w:val="00EA49FB"/>
    <w:rsid w:val="00EA504B"/>
    <w:rsid w:val="00EA69D2"/>
    <w:rsid w:val="00EA6E4C"/>
    <w:rsid w:val="00EA6E8F"/>
    <w:rsid w:val="00EA7102"/>
    <w:rsid w:val="00EA7E30"/>
    <w:rsid w:val="00EB0C0F"/>
    <w:rsid w:val="00EB12EB"/>
    <w:rsid w:val="00EB14EC"/>
    <w:rsid w:val="00EB1923"/>
    <w:rsid w:val="00EB19A2"/>
    <w:rsid w:val="00EB24B1"/>
    <w:rsid w:val="00EB28CD"/>
    <w:rsid w:val="00EB32B7"/>
    <w:rsid w:val="00EB39FA"/>
    <w:rsid w:val="00EB3AFC"/>
    <w:rsid w:val="00EB3BF5"/>
    <w:rsid w:val="00EB42B7"/>
    <w:rsid w:val="00EB4EC8"/>
    <w:rsid w:val="00EB4F88"/>
    <w:rsid w:val="00EB523A"/>
    <w:rsid w:val="00EB5450"/>
    <w:rsid w:val="00EB585E"/>
    <w:rsid w:val="00EB5EBA"/>
    <w:rsid w:val="00EB5F6C"/>
    <w:rsid w:val="00EB64FC"/>
    <w:rsid w:val="00EB6615"/>
    <w:rsid w:val="00EB670B"/>
    <w:rsid w:val="00EB67FC"/>
    <w:rsid w:val="00EB68B5"/>
    <w:rsid w:val="00EB799E"/>
    <w:rsid w:val="00EC021E"/>
    <w:rsid w:val="00EC0262"/>
    <w:rsid w:val="00EC049B"/>
    <w:rsid w:val="00EC1D8E"/>
    <w:rsid w:val="00EC1ECC"/>
    <w:rsid w:val="00EC1F96"/>
    <w:rsid w:val="00EC24AD"/>
    <w:rsid w:val="00EC256A"/>
    <w:rsid w:val="00EC25D0"/>
    <w:rsid w:val="00EC264F"/>
    <w:rsid w:val="00EC27DC"/>
    <w:rsid w:val="00EC2A80"/>
    <w:rsid w:val="00EC2F69"/>
    <w:rsid w:val="00EC496D"/>
    <w:rsid w:val="00EC4D6D"/>
    <w:rsid w:val="00EC5859"/>
    <w:rsid w:val="00EC5AC4"/>
    <w:rsid w:val="00EC659F"/>
    <w:rsid w:val="00EC6DED"/>
    <w:rsid w:val="00EC6F82"/>
    <w:rsid w:val="00EC722A"/>
    <w:rsid w:val="00EC7358"/>
    <w:rsid w:val="00ED0179"/>
    <w:rsid w:val="00ED01AF"/>
    <w:rsid w:val="00ED098D"/>
    <w:rsid w:val="00ED0C0B"/>
    <w:rsid w:val="00ED0FD9"/>
    <w:rsid w:val="00ED1205"/>
    <w:rsid w:val="00ED1776"/>
    <w:rsid w:val="00ED198B"/>
    <w:rsid w:val="00ED1A08"/>
    <w:rsid w:val="00ED230B"/>
    <w:rsid w:val="00ED2378"/>
    <w:rsid w:val="00ED28EE"/>
    <w:rsid w:val="00ED345F"/>
    <w:rsid w:val="00ED3621"/>
    <w:rsid w:val="00ED3A3E"/>
    <w:rsid w:val="00ED3B0D"/>
    <w:rsid w:val="00ED3C6E"/>
    <w:rsid w:val="00ED423D"/>
    <w:rsid w:val="00ED4D08"/>
    <w:rsid w:val="00ED4E8E"/>
    <w:rsid w:val="00ED6F41"/>
    <w:rsid w:val="00ED70F3"/>
    <w:rsid w:val="00ED713F"/>
    <w:rsid w:val="00ED750B"/>
    <w:rsid w:val="00ED7AB0"/>
    <w:rsid w:val="00EE0009"/>
    <w:rsid w:val="00EE01EF"/>
    <w:rsid w:val="00EE033C"/>
    <w:rsid w:val="00EE08B3"/>
    <w:rsid w:val="00EE10F8"/>
    <w:rsid w:val="00EE1BA7"/>
    <w:rsid w:val="00EE1F83"/>
    <w:rsid w:val="00EE2090"/>
    <w:rsid w:val="00EE2533"/>
    <w:rsid w:val="00EE2AE6"/>
    <w:rsid w:val="00EE3B3A"/>
    <w:rsid w:val="00EE3BDF"/>
    <w:rsid w:val="00EE3C52"/>
    <w:rsid w:val="00EE3F49"/>
    <w:rsid w:val="00EE43FC"/>
    <w:rsid w:val="00EE4535"/>
    <w:rsid w:val="00EE4813"/>
    <w:rsid w:val="00EE4AA1"/>
    <w:rsid w:val="00EE4FC0"/>
    <w:rsid w:val="00EE5433"/>
    <w:rsid w:val="00EE5885"/>
    <w:rsid w:val="00EE596D"/>
    <w:rsid w:val="00EE5A34"/>
    <w:rsid w:val="00EE5D5D"/>
    <w:rsid w:val="00EE6037"/>
    <w:rsid w:val="00EE604A"/>
    <w:rsid w:val="00EE6701"/>
    <w:rsid w:val="00EE674E"/>
    <w:rsid w:val="00EE6897"/>
    <w:rsid w:val="00EE699A"/>
    <w:rsid w:val="00EE7742"/>
    <w:rsid w:val="00EE7B3A"/>
    <w:rsid w:val="00EF0B57"/>
    <w:rsid w:val="00EF13FC"/>
    <w:rsid w:val="00EF16CC"/>
    <w:rsid w:val="00EF18CC"/>
    <w:rsid w:val="00EF1F7A"/>
    <w:rsid w:val="00EF3128"/>
    <w:rsid w:val="00EF3478"/>
    <w:rsid w:val="00EF3B82"/>
    <w:rsid w:val="00EF4A55"/>
    <w:rsid w:val="00EF4AC4"/>
    <w:rsid w:val="00EF55B8"/>
    <w:rsid w:val="00EF56D2"/>
    <w:rsid w:val="00EF58F1"/>
    <w:rsid w:val="00EF5B95"/>
    <w:rsid w:val="00EF5D05"/>
    <w:rsid w:val="00EF5E20"/>
    <w:rsid w:val="00EF6373"/>
    <w:rsid w:val="00EF6AE6"/>
    <w:rsid w:val="00EF7150"/>
    <w:rsid w:val="00EF75B4"/>
    <w:rsid w:val="00EF79FA"/>
    <w:rsid w:val="00F0042B"/>
    <w:rsid w:val="00F00C76"/>
    <w:rsid w:val="00F01036"/>
    <w:rsid w:val="00F010D2"/>
    <w:rsid w:val="00F011AF"/>
    <w:rsid w:val="00F013C7"/>
    <w:rsid w:val="00F0162C"/>
    <w:rsid w:val="00F016A3"/>
    <w:rsid w:val="00F01857"/>
    <w:rsid w:val="00F01CF8"/>
    <w:rsid w:val="00F021BF"/>
    <w:rsid w:val="00F02999"/>
    <w:rsid w:val="00F02CD1"/>
    <w:rsid w:val="00F02EB5"/>
    <w:rsid w:val="00F02ECC"/>
    <w:rsid w:val="00F030D2"/>
    <w:rsid w:val="00F032CA"/>
    <w:rsid w:val="00F03593"/>
    <w:rsid w:val="00F03766"/>
    <w:rsid w:val="00F037BC"/>
    <w:rsid w:val="00F04244"/>
    <w:rsid w:val="00F05A14"/>
    <w:rsid w:val="00F05B5C"/>
    <w:rsid w:val="00F05F7E"/>
    <w:rsid w:val="00F0604D"/>
    <w:rsid w:val="00F0614F"/>
    <w:rsid w:val="00F0672E"/>
    <w:rsid w:val="00F06D74"/>
    <w:rsid w:val="00F06F4B"/>
    <w:rsid w:val="00F1046D"/>
    <w:rsid w:val="00F1058D"/>
    <w:rsid w:val="00F10651"/>
    <w:rsid w:val="00F106A0"/>
    <w:rsid w:val="00F109D0"/>
    <w:rsid w:val="00F10DFC"/>
    <w:rsid w:val="00F116FC"/>
    <w:rsid w:val="00F12334"/>
    <w:rsid w:val="00F124BE"/>
    <w:rsid w:val="00F1258F"/>
    <w:rsid w:val="00F1282F"/>
    <w:rsid w:val="00F12947"/>
    <w:rsid w:val="00F129CB"/>
    <w:rsid w:val="00F12B27"/>
    <w:rsid w:val="00F12F90"/>
    <w:rsid w:val="00F13025"/>
    <w:rsid w:val="00F138F0"/>
    <w:rsid w:val="00F142B9"/>
    <w:rsid w:val="00F14422"/>
    <w:rsid w:val="00F14A82"/>
    <w:rsid w:val="00F14C1B"/>
    <w:rsid w:val="00F14E7D"/>
    <w:rsid w:val="00F15142"/>
    <w:rsid w:val="00F1525C"/>
    <w:rsid w:val="00F15A08"/>
    <w:rsid w:val="00F15A77"/>
    <w:rsid w:val="00F15C19"/>
    <w:rsid w:val="00F1620B"/>
    <w:rsid w:val="00F166CD"/>
    <w:rsid w:val="00F167A5"/>
    <w:rsid w:val="00F169C5"/>
    <w:rsid w:val="00F16C27"/>
    <w:rsid w:val="00F16F0A"/>
    <w:rsid w:val="00F16F2A"/>
    <w:rsid w:val="00F17174"/>
    <w:rsid w:val="00F17183"/>
    <w:rsid w:val="00F173BA"/>
    <w:rsid w:val="00F17C86"/>
    <w:rsid w:val="00F20D94"/>
    <w:rsid w:val="00F2100B"/>
    <w:rsid w:val="00F21233"/>
    <w:rsid w:val="00F21885"/>
    <w:rsid w:val="00F21C0C"/>
    <w:rsid w:val="00F22818"/>
    <w:rsid w:val="00F233D2"/>
    <w:rsid w:val="00F23BC2"/>
    <w:rsid w:val="00F23EE4"/>
    <w:rsid w:val="00F2440D"/>
    <w:rsid w:val="00F248BC"/>
    <w:rsid w:val="00F25219"/>
    <w:rsid w:val="00F25A87"/>
    <w:rsid w:val="00F262D9"/>
    <w:rsid w:val="00F26906"/>
    <w:rsid w:val="00F27185"/>
    <w:rsid w:val="00F2738A"/>
    <w:rsid w:val="00F277C9"/>
    <w:rsid w:val="00F27C35"/>
    <w:rsid w:val="00F30726"/>
    <w:rsid w:val="00F30D3F"/>
    <w:rsid w:val="00F31095"/>
    <w:rsid w:val="00F31362"/>
    <w:rsid w:val="00F31BCC"/>
    <w:rsid w:val="00F32640"/>
    <w:rsid w:val="00F32757"/>
    <w:rsid w:val="00F32A5A"/>
    <w:rsid w:val="00F32EEE"/>
    <w:rsid w:val="00F334D7"/>
    <w:rsid w:val="00F33560"/>
    <w:rsid w:val="00F339C4"/>
    <w:rsid w:val="00F33F19"/>
    <w:rsid w:val="00F340FD"/>
    <w:rsid w:val="00F342E2"/>
    <w:rsid w:val="00F3489F"/>
    <w:rsid w:val="00F34DBA"/>
    <w:rsid w:val="00F34E3A"/>
    <w:rsid w:val="00F34F18"/>
    <w:rsid w:val="00F3550E"/>
    <w:rsid w:val="00F3573E"/>
    <w:rsid w:val="00F35A2D"/>
    <w:rsid w:val="00F35AEE"/>
    <w:rsid w:val="00F360F4"/>
    <w:rsid w:val="00F36236"/>
    <w:rsid w:val="00F36307"/>
    <w:rsid w:val="00F36499"/>
    <w:rsid w:val="00F365F5"/>
    <w:rsid w:val="00F36696"/>
    <w:rsid w:val="00F367EB"/>
    <w:rsid w:val="00F36ACA"/>
    <w:rsid w:val="00F36B1E"/>
    <w:rsid w:val="00F36ED9"/>
    <w:rsid w:val="00F3731C"/>
    <w:rsid w:val="00F379A3"/>
    <w:rsid w:val="00F37AB5"/>
    <w:rsid w:val="00F37C03"/>
    <w:rsid w:val="00F4028C"/>
    <w:rsid w:val="00F40655"/>
    <w:rsid w:val="00F40C91"/>
    <w:rsid w:val="00F41A1F"/>
    <w:rsid w:val="00F41ABC"/>
    <w:rsid w:val="00F41AD2"/>
    <w:rsid w:val="00F41F9A"/>
    <w:rsid w:val="00F4292A"/>
    <w:rsid w:val="00F430E2"/>
    <w:rsid w:val="00F430F5"/>
    <w:rsid w:val="00F43A99"/>
    <w:rsid w:val="00F442B2"/>
    <w:rsid w:val="00F448AD"/>
    <w:rsid w:val="00F44D42"/>
    <w:rsid w:val="00F44DE5"/>
    <w:rsid w:val="00F44FFB"/>
    <w:rsid w:val="00F45229"/>
    <w:rsid w:val="00F452E1"/>
    <w:rsid w:val="00F45795"/>
    <w:rsid w:val="00F4605C"/>
    <w:rsid w:val="00F46365"/>
    <w:rsid w:val="00F46380"/>
    <w:rsid w:val="00F467BB"/>
    <w:rsid w:val="00F46D28"/>
    <w:rsid w:val="00F471F2"/>
    <w:rsid w:val="00F47201"/>
    <w:rsid w:val="00F47303"/>
    <w:rsid w:val="00F47C18"/>
    <w:rsid w:val="00F47EAF"/>
    <w:rsid w:val="00F500DC"/>
    <w:rsid w:val="00F50230"/>
    <w:rsid w:val="00F50546"/>
    <w:rsid w:val="00F50560"/>
    <w:rsid w:val="00F5073E"/>
    <w:rsid w:val="00F50993"/>
    <w:rsid w:val="00F509D5"/>
    <w:rsid w:val="00F51AED"/>
    <w:rsid w:val="00F51B6F"/>
    <w:rsid w:val="00F51BE0"/>
    <w:rsid w:val="00F51F43"/>
    <w:rsid w:val="00F52076"/>
    <w:rsid w:val="00F52186"/>
    <w:rsid w:val="00F524B2"/>
    <w:rsid w:val="00F527F5"/>
    <w:rsid w:val="00F52881"/>
    <w:rsid w:val="00F528B2"/>
    <w:rsid w:val="00F52AAA"/>
    <w:rsid w:val="00F530D3"/>
    <w:rsid w:val="00F532A1"/>
    <w:rsid w:val="00F535F6"/>
    <w:rsid w:val="00F5381B"/>
    <w:rsid w:val="00F538D8"/>
    <w:rsid w:val="00F53906"/>
    <w:rsid w:val="00F53946"/>
    <w:rsid w:val="00F53B93"/>
    <w:rsid w:val="00F541A8"/>
    <w:rsid w:val="00F54487"/>
    <w:rsid w:val="00F544A9"/>
    <w:rsid w:val="00F54B53"/>
    <w:rsid w:val="00F54FAE"/>
    <w:rsid w:val="00F554C3"/>
    <w:rsid w:val="00F557DD"/>
    <w:rsid w:val="00F5584D"/>
    <w:rsid w:val="00F5586D"/>
    <w:rsid w:val="00F55CB7"/>
    <w:rsid w:val="00F55EE4"/>
    <w:rsid w:val="00F562D7"/>
    <w:rsid w:val="00F568B1"/>
    <w:rsid w:val="00F56CA7"/>
    <w:rsid w:val="00F601FD"/>
    <w:rsid w:val="00F60294"/>
    <w:rsid w:val="00F6050A"/>
    <w:rsid w:val="00F607A9"/>
    <w:rsid w:val="00F608E2"/>
    <w:rsid w:val="00F60DF8"/>
    <w:rsid w:val="00F6131D"/>
    <w:rsid w:val="00F614A1"/>
    <w:rsid w:val="00F6192A"/>
    <w:rsid w:val="00F6199B"/>
    <w:rsid w:val="00F624A6"/>
    <w:rsid w:val="00F6366E"/>
    <w:rsid w:val="00F646EC"/>
    <w:rsid w:val="00F658F9"/>
    <w:rsid w:val="00F65BAE"/>
    <w:rsid w:val="00F65BFE"/>
    <w:rsid w:val="00F65D6F"/>
    <w:rsid w:val="00F65D90"/>
    <w:rsid w:val="00F673D3"/>
    <w:rsid w:val="00F674D6"/>
    <w:rsid w:val="00F676C0"/>
    <w:rsid w:val="00F67970"/>
    <w:rsid w:val="00F701E1"/>
    <w:rsid w:val="00F706B3"/>
    <w:rsid w:val="00F70D6D"/>
    <w:rsid w:val="00F70F4C"/>
    <w:rsid w:val="00F71148"/>
    <w:rsid w:val="00F71993"/>
    <w:rsid w:val="00F721F4"/>
    <w:rsid w:val="00F728C6"/>
    <w:rsid w:val="00F72A85"/>
    <w:rsid w:val="00F72B6A"/>
    <w:rsid w:val="00F73248"/>
    <w:rsid w:val="00F73AFF"/>
    <w:rsid w:val="00F73FED"/>
    <w:rsid w:val="00F74395"/>
    <w:rsid w:val="00F74676"/>
    <w:rsid w:val="00F74FA4"/>
    <w:rsid w:val="00F7531C"/>
    <w:rsid w:val="00F75730"/>
    <w:rsid w:val="00F75A39"/>
    <w:rsid w:val="00F75A6D"/>
    <w:rsid w:val="00F75AC2"/>
    <w:rsid w:val="00F75B30"/>
    <w:rsid w:val="00F75E00"/>
    <w:rsid w:val="00F7669E"/>
    <w:rsid w:val="00F766ED"/>
    <w:rsid w:val="00F76A27"/>
    <w:rsid w:val="00F777FE"/>
    <w:rsid w:val="00F7787E"/>
    <w:rsid w:val="00F77B0D"/>
    <w:rsid w:val="00F80AB8"/>
    <w:rsid w:val="00F80ACB"/>
    <w:rsid w:val="00F80D08"/>
    <w:rsid w:val="00F81327"/>
    <w:rsid w:val="00F81368"/>
    <w:rsid w:val="00F817BC"/>
    <w:rsid w:val="00F81ACE"/>
    <w:rsid w:val="00F81C29"/>
    <w:rsid w:val="00F81CDF"/>
    <w:rsid w:val="00F81DCD"/>
    <w:rsid w:val="00F82130"/>
    <w:rsid w:val="00F82288"/>
    <w:rsid w:val="00F82314"/>
    <w:rsid w:val="00F82554"/>
    <w:rsid w:val="00F82788"/>
    <w:rsid w:val="00F8278F"/>
    <w:rsid w:val="00F82B67"/>
    <w:rsid w:val="00F82ED3"/>
    <w:rsid w:val="00F843EF"/>
    <w:rsid w:val="00F84F63"/>
    <w:rsid w:val="00F84FFF"/>
    <w:rsid w:val="00F851D3"/>
    <w:rsid w:val="00F855F7"/>
    <w:rsid w:val="00F858B4"/>
    <w:rsid w:val="00F859C8"/>
    <w:rsid w:val="00F85B99"/>
    <w:rsid w:val="00F869E9"/>
    <w:rsid w:val="00F87539"/>
    <w:rsid w:val="00F87C86"/>
    <w:rsid w:val="00F906CB"/>
    <w:rsid w:val="00F90805"/>
    <w:rsid w:val="00F9080C"/>
    <w:rsid w:val="00F914FF"/>
    <w:rsid w:val="00F91575"/>
    <w:rsid w:val="00F91849"/>
    <w:rsid w:val="00F92A22"/>
    <w:rsid w:val="00F93D87"/>
    <w:rsid w:val="00F93E42"/>
    <w:rsid w:val="00F945DC"/>
    <w:rsid w:val="00F946ED"/>
    <w:rsid w:val="00F949E1"/>
    <w:rsid w:val="00F95494"/>
    <w:rsid w:val="00F956B7"/>
    <w:rsid w:val="00F95A87"/>
    <w:rsid w:val="00F95F17"/>
    <w:rsid w:val="00F9610B"/>
    <w:rsid w:val="00F9619C"/>
    <w:rsid w:val="00F96D06"/>
    <w:rsid w:val="00F97239"/>
    <w:rsid w:val="00F9757C"/>
    <w:rsid w:val="00F97594"/>
    <w:rsid w:val="00F976A0"/>
    <w:rsid w:val="00F97B03"/>
    <w:rsid w:val="00F97EF2"/>
    <w:rsid w:val="00FA0E93"/>
    <w:rsid w:val="00FA1240"/>
    <w:rsid w:val="00FA13E8"/>
    <w:rsid w:val="00FA1B66"/>
    <w:rsid w:val="00FA1D12"/>
    <w:rsid w:val="00FA1DE9"/>
    <w:rsid w:val="00FA1EEC"/>
    <w:rsid w:val="00FA236A"/>
    <w:rsid w:val="00FA2BC3"/>
    <w:rsid w:val="00FA313E"/>
    <w:rsid w:val="00FA3C05"/>
    <w:rsid w:val="00FA3C9C"/>
    <w:rsid w:val="00FA3E79"/>
    <w:rsid w:val="00FA4045"/>
    <w:rsid w:val="00FA482F"/>
    <w:rsid w:val="00FA4901"/>
    <w:rsid w:val="00FA4C4D"/>
    <w:rsid w:val="00FA4E9C"/>
    <w:rsid w:val="00FA5AB4"/>
    <w:rsid w:val="00FA5C39"/>
    <w:rsid w:val="00FA60AF"/>
    <w:rsid w:val="00FA679E"/>
    <w:rsid w:val="00FA790D"/>
    <w:rsid w:val="00FA7CCA"/>
    <w:rsid w:val="00FB06F2"/>
    <w:rsid w:val="00FB0E73"/>
    <w:rsid w:val="00FB1084"/>
    <w:rsid w:val="00FB1356"/>
    <w:rsid w:val="00FB17B8"/>
    <w:rsid w:val="00FB1A1D"/>
    <w:rsid w:val="00FB1B9D"/>
    <w:rsid w:val="00FB1CA0"/>
    <w:rsid w:val="00FB2414"/>
    <w:rsid w:val="00FB29F2"/>
    <w:rsid w:val="00FB2D1C"/>
    <w:rsid w:val="00FB39FA"/>
    <w:rsid w:val="00FB4181"/>
    <w:rsid w:val="00FB44B7"/>
    <w:rsid w:val="00FB5068"/>
    <w:rsid w:val="00FB5A14"/>
    <w:rsid w:val="00FB5ED0"/>
    <w:rsid w:val="00FB66CA"/>
    <w:rsid w:val="00FB6811"/>
    <w:rsid w:val="00FB73B1"/>
    <w:rsid w:val="00FB7481"/>
    <w:rsid w:val="00FB7667"/>
    <w:rsid w:val="00FC0267"/>
    <w:rsid w:val="00FC0459"/>
    <w:rsid w:val="00FC0948"/>
    <w:rsid w:val="00FC0A4C"/>
    <w:rsid w:val="00FC0F33"/>
    <w:rsid w:val="00FC124D"/>
    <w:rsid w:val="00FC1533"/>
    <w:rsid w:val="00FC1D45"/>
    <w:rsid w:val="00FC1E73"/>
    <w:rsid w:val="00FC1EE8"/>
    <w:rsid w:val="00FC211A"/>
    <w:rsid w:val="00FC238E"/>
    <w:rsid w:val="00FC2666"/>
    <w:rsid w:val="00FC2B6D"/>
    <w:rsid w:val="00FC2E41"/>
    <w:rsid w:val="00FC393E"/>
    <w:rsid w:val="00FC42CE"/>
    <w:rsid w:val="00FC4B84"/>
    <w:rsid w:val="00FC56BF"/>
    <w:rsid w:val="00FC5998"/>
    <w:rsid w:val="00FC59BB"/>
    <w:rsid w:val="00FC5B14"/>
    <w:rsid w:val="00FC6580"/>
    <w:rsid w:val="00FC6EFE"/>
    <w:rsid w:val="00FC7431"/>
    <w:rsid w:val="00FC7BBB"/>
    <w:rsid w:val="00FC7EA2"/>
    <w:rsid w:val="00FD07DA"/>
    <w:rsid w:val="00FD0AA7"/>
    <w:rsid w:val="00FD0C22"/>
    <w:rsid w:val="00FD0C7A"/>
    <w:rsid w:val="00FD0D3E"/>
    <w:rsid w:val="00FD14ED"/>
    <w:rsid w:val="00FD1530"/>
    <w:rsid w:val="00FD17D8"/>
    <w:rsid w:val="00FD1974"/>
    <w:rsid w:val="00FD21A7"/>
    <w:rsid w:val="00FD27FF"/>
    <w:rsid w:val="00FD29A5"/>
    <w:rsid w:val="00FD3817"/>
    <w:rsid w:val="00FD3BE2"/>
    <w:rsid w:val="00FD4582"/>
    <w:rsid w:val="00FD45D6"/>
    <w:rsid w:val="00FD4C93"/>
    <w:rsid w:val="00FD4CE4"/>
    <w:rsid w:val="00FD4E96"/>
    <w:rsid w:val="00FD5089"/>
    <w:rsid w:val="00FD5595"/>
    <w:rsid w:val="00FD560D"/>
    <w:rsid w:val="00FD5834"/>
    <w:rsid w:val="00FD595F"/>
    <w:rsid w:val="00FD5C19"/>
    <w:rsid w:val="00FD5C4A"/>
    <w:rsid w:val="00FD5F88"/>
    <w:rsid w:val="00FD6371"/>
    <w:rsid w:val="00FD63F6"/>
    <w:rsid w:val="00FD649C"/>
    <w:rsid w:val="00FD65CA"/>
    <w:rsid w:val="00FD66D6"/>
    <w:rsid w:val="00FD6A56"/>
    <w:rsid w:val="00FD6DB8"/>
    <w:rsid w:val="00FD6E1E"/>
    <w:rsid w:val="00FD7424"/>
    <w:rsid w:val="00FD7BAE"/>
    <w:rsid w:val="00FD7BD9"/>
    <w:rsid w:val="00FD7E62"/>
    <w:rsid w:val="00FE0006"/>
    <w:rsid w:val="00FE018B"/>
    <w:rsid w:val="00FE1121"/>
    <w:rsid w:val="00FE1433"/>
    <w:rsid w:val="00FE1473"/>
    <w:rsid w:val="00FE152D"/>
    <w:rsid w:val="00FE19B3"/>
    <w:rsid w:val="00FE1B1A"/>
    <w:rsid w:val="00FE20A9"/>
    <w:rsid w:val="00FE2278"/>
    <w:rsid w:val="00FE2B06"/>
    <w:rsid w:val="00FE2D80"/>
    <w:rsid w:val="00FE3B49"/>
    <w:rsid w:val="00FE3CC0"/>
    <w:rsid w:val="00FE40F4"/>
    <w:rsid w:val="00FE42A2"/>
    <w:rsid w:val="00FE467F"/>
    <w:rsid w:val="00FE484B"/>
    <w:rsid w:val="00FE489B"/>
    <w:rsid w:val="00FE49E3"/>
    <w:rsid w:val="00FE5665"/>
    <w:rsid w:val="00FE56BD"/>
    <w:rsid w:val="00FE5880"/>
    <w:rsid w:val="00FE61AA"/>
    <w:rsid w:val="00FE6934"/>
    <w:rsid w:val="00FE7023"/>
    <w:rsid w:val="00FE73A4"/>
    <w:rsid w:val="00FE77B8"/>
    <w:rsid w:val="00FE77EF"/>
    <w:rsid w:val="00FE7CAA"/>
    <w:rsid w:val="00FF01BB"/>
    <w:rsid w:val="00FF02DD"/>
    <w:rsid w:val="00FF04D7"/>
    <w:rsid w:val="00FF14C4"/>
    <w:rsid w:val="00FF1673"/>
    <w:rsid w:val="00FF1E64"/>
    <w:rsid w:val="00FF27CF"/>
    <w:rsid w:val="00FF2B4E"/>
    <w:rsid w:val="00FF33D9"/>
    <w:rsid w:val="00FF3A3D"/>
    <w:rsid w:val="00FF3E03"/>
    <w:rsid w:val="00FF428B"/>
    <w:rsid w:val="00FF45B1"/>
    <w:rsid w:val="00FF4622"/>
    <w:rsid w:val="00FF492E"/>
    <w:rsid w:val="00FF4D75"/>
    <w:rsid w:val="00FF4DDB"/>
    <w:rsid w:val="00FF5747"/>
    <w:rsid w:val="00FF5C41"/>
    <w:rsid w:val="00FF6355"/>
    <w:rsid w:val="00FF67A2"/>
    <w:rsid w:val="00FF6A01"/>
    <w:rsid w:val="00FF6B07"/>
    <w:rsid w:val="00FF6CED"/>
    <w:rsid w:val="00FF7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lsdException w:name="caption" w:semiHidden="0" w:uiPriority="1" w:unhideWhenUsed="0" w:qFormat="1"/>
    <w:lsdException w:name="List Bullet" w:uiPriority="1" w:qFormat="1"/>
    <w:lsdException w:name="List Number" w:uiPriority="1" w:qFormat="1"/>
    <w:lsdException w:name="Title" w:semiHidden="0" w:unhideWhenUsed="0" w:qFormat="1"/>
    <w:lsdException w:name="Default Paragraph Font" w:uiPriority="1"/>
    <w:lsdException w:name="Subtitle" w:semiHidden="0" w:uiPriority="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1"/>
    <w:lsdException w:name="TOC Heading" w:uiPriority="39" w:qFormat="1"/>
  </w:latentStyles>
  <w:style w:type="paragraph" w:default="1" w:styleId="Normal">
    <w:name w:val="Normal"/>
    <w:qFormat/>
    <w:rsid w:val="00C26DCB"/>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iPriority w:val="99"/>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Ind w:w="0" w:type="dxa"/>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Ind w:w="0" w:type="dxa"/>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CellMar>
        <w:top w:w="0" w:type="dxa"/>
        <w:left w:w="108" w:type="dxa"/>
        <w:bottom w:w="0" w:type="dxa"/>
        <w:right w:w="108" w:type="dxa"/>
      </w:tblCellMar>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Ind w:w="0" w:type="dxa"/>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67559" w:themeColor="accent5"/>
        <w:left w:val="single" w:sz="8" w:space="0" w:color="667559" w:themeColor="accent5"/>
        <w:bottom w:val="single" w:sz="8" w:space="0" w:color="667559" w:themeColor="accent5"/>
        <w:right w:val="single" w:sz="8" w:space="0" w:color="66755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983620" w:themeColor="accent2"/>
        <w:bottom w:val="single" w:sz="8" w:space="0" w:color="98362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4B5A60" w:themeColor="accent1"/>
        <w:bottom w:val="single" w:sz="8" w:space="0" w:color="4B5A60"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 w:type="character" w:customStyle="1" w:styleId="FunoteChar1">
    <w:name w:val="Fußnote Char1"/>
    <w:aliases w:val="Footnote Text Char Char Char1,single space Char1,footnote text Char1,FOOTNOTES Char1,fn Char1,Footnote Char2, Char1 Char Char1,Footnote Char1 Char1,stile 1 Char1,Footnote1 Char1,Footnote2 Char1,Footnote3 Char"/>
    <w:basedOn w:val="DefaultParagraphFont"/>
    <w:uiPriority w:val="99"/>
    <w:semiHidden/>
    <w:rsid w:val="004A15C7"/>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lsdException w:name="caption" w:semiHidden="0" w:uiPriority="1" w:unhideWhenUsed="0" w:qFormat="1"/>
    <w:lsdException w:name="List Bullet" w:uiPriority="1" w:qFormat="1"/>
    <w:lsdException w:name="List Number" w:uiPriority="1" w:qFormat="1"/>
    <w:lsdException w:name="Title" w:semiHidden="0" w:unhideWhenUsed="0" w:qFormat="1"/>
    <w:lsdException w:name="Default Paragraph Font" w:uiPriority="1"/>
    <w:lsdException w:name="Subtitle" w:semiHidden="0" w:uiPriority="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1"/>
    <w:lsdException w:name="TOC Heading" w:uiPriority="39" w:qFormat="1"/>
  </w:latentStyles>
  <w:style w:type="paragraph" w:default="1" w:styleId="Normal">
    <w:name w:val="Normal"/>
    <w:qFormat/>
    <w:rsid w:val="00C26DCB"/>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iPriority w:val="99"/>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Ind w:w="0" w:type="dxa"/>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Ind w:w="0" w:type="dxa"/>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CellMar>
        <w:top w:w="0" w:type="dxa"/>
        <w:left w:w="108" w:type="dxa"/>
        <w:bottom w:w="0" w:type="dxa"/>
        <w:right w:w="108" w:type="dxa"/>
      </w:tblCellMar>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Ind w:w="0" w:type="dxa"/>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67559" w:themeColor="accent5"/>
        <w:left w:val="single" w:sz="8" w:space="0" w:color="667559" w:themeColor="accent5"/>
        <w:bottom w:val="single" w:sz="8" w:space="0" w:color="667559" w:themeColor="accent5"/>
        <w:right w:val="single" w:sz="8" w:space="0" w:color="66755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983620" w:themeColor="accent2"/>
        <w:bottom w:val="single" w:sz="8" w:space="0" w:color="98362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4B5A60" w:themeColor="accent1"/>
        <w:bottom w:val="single" w:sz="8" w:space="0" w:color="4B5A60"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 w:type="character" w:customStyle="1" w:styleId="FunoteChar1">
    <w:name w:val="Fußnote Char1"/>
    <w:aliases w:val="Footnote Text Char Char Char1,single space Char1,footnote text Char1,FOOTNOTES Char1,fn Char1,Footnote Char2, Char1 Char Char1,Footnote Char1 Char1,stile 1 Char1,Footnote1 Char1,Footnote2 Char1,Footnote3 Char"/>
    <w:basedOn w:val="DefaultParagraphFont"/>
    <w:uiPriority w:val="99"/>
    <w:semiHidden/>
    <w:rsid w:val="004A15C7"/>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990">
      <w:bodyDiv w:val="1"/>
      <w:marLeft w:val="0"/>
      <w:marRight w:val="0"/>
      <w:marTop w:val="0"/>
      <w:marBottom w:val="0"/>
      <w:divBdr>
        <w:top w:val="none" w:sz="0" w:space="0" w:color="auto"/>
        <w:left w:val="none" w:sz="0" w:space="0" w:color="auto"/>
        <w:bottom w:val="none" w:sz="0" w:space="0" w:color="auto"/>
        <w:right w:val="none" w:sz="0" w:space="0" w:color="auto"/>
      </w:divBdr>
      <w:divsChild>
        <w:div w:id="11303197">
          <w:marLeft w:val="965"/>
          <w:marRight w:val="0"/>
          <w:marTop w:val="77"/>
          <w:marBottom w:val="0"/>
          <w:divBdr>
            <w:top w:val="none" w:sz="0" w:space="0" w:color="auto"/>
            <w:left w:val="none" w:sz="0" w:space="0" w:color="auto"/>
            <w:bottom w:val="none" w:sz="0" w:space="0" w:color="auto"/>
            <w:right w:val="none" w:sz="0" w:space="0" w:color="auto"/>
          </w:divBdr>
        </w:div>
      </w:divsChild>
    </w:div>
    <w:div w:id="37559209">
      <w:bodyDiv w:val="1"/>
      <w:marLeft w:val="0"/>
      <w:marRight w:val="0"/>
      <w:marTop w:val="0"/>
      <w:marBottom w:val="0"/>
      <w:divBdr>
        <w:top w:val="none" w:sz="0" w:space="0" w:color="auto"/>
        <w:left w:val="none" w:sz="0" w:space="0" w:color="auto"/>
        <w:bottom w:val="none" w:sz="0" w:space="0" w:color="auto"/>
        <w:right w:val="none" w:sz="0" w:space="0" w:color="auto"/>
      </w:divBdr>
      <w:divsChild>
        <w:div w:id="756094957">
          <w:marLeft w:val="0"/>
          <w:marRight w:val="0"/>
          <w:marTop w:val="0"/>
          <w:marBottom w:val="0"/>
          <w:divBdr>
            <w:top w:val="none" w:sz="0" w:space="0" w:color="auto"/>
            <w:left w:val="none" w:sz="0" w:space="0" w:color="auto"/>
            <w:bottom w:val="none" w:sz="0" w:space="0" w:color="auto"/>
            <w:right w:val="none" w:sz="0" w:space="0" w:color="auto"/>
          </w:divBdr>
        </w:div>
        <w:div w:id="1621108222">
          <w:marLeft w:val="0"/>
          <w:marRight w:val="0"/>
          <w:marTop w:val="0"/>
          <w:marBottom w:val="0"/>
          <w:divBdr>
            <w:top w:val="none" w:sz="0" w:space="0" w:color="auto"/>
            <w:left w:val="none" w:sz="0" w:space="0" w:color="auto"/>
            <w:bottom w:val="none" w:sz="0" w:space="0" w:color="auto"/>
            <w:right w:val="none" w:sz="0" w:space="0" w:color="auto"/>
          </w:divBdr>
        </w:div>
      </w:divsChild>
    </w:div>
    <w:div w:id="102306508">
      <w:bodyDiv w:val="1"/>
      <w:marLeft w:val="0"/>
      <w:marRight w:val="0"/>
      <w:marTop w:val="0"/>
      <w:marBottom w:val="0"/>
      <w:divBdr>
        <w:top w:val="none" w:sz="0" w:space="0" w:color="auto"/>
        <w:left w:val="none" w:sz="0" w:space="0" w:color="auto"/>
        <w:bottom w:val="none" w:sz="0" w:space="0" w:color="auto"/>
        <w:right w:val="none" w:sz="0" w:space="0" w:color="auto"/>
      </w:divBdr>
    </w:div>
    <w:div w:id="119543335">
      <w:bodyDiv w:val="1"/>
      <w:marLeft w:val="0"/>
      <w:marRight w:val="0"/>
      <w:marTop w:val="0"/>
      <w:marBottom w:val="0"/>
      <w:divBdr>
        <w:top w:val="none" w:sz="0" w:space="0" w:color="auto"/>
        <w:left w:val="none" w:sz="0" w:space="0" w:color="auto"/>
        <w:bottom w:val="none" w:sz="0" w:space="0" w:color="auto"/>
        <w:right w:val="none" w:sz="0" w:space="0" w:color="auto"/>
      </w:divBdr>
      <w:divsChild>
        <w:div w:id="154031258">
          <w:marLeft w:val="0"/>
          <w:marRight w:val="0"/>
          <w:marTop w:val="0"/>
          <w:marBottom w:val="0"/>
          <w:divBdr>
            <w:top w:val="none" w:sz="0" w:space="0" w:color="auto"/>
            <w:left w:val="none" w:sz="0" w:space="0" w:color="auto"/>
            <w:bottom w:val="none" w:sz="0" w:space="0" w:color="auto"/>
            <w:right w:val="none" w:sz="0" w:space="0" w:color="auto"/>
          </w:divBdr>
        </w:div>
        <w:div w:id="282277013">
          <w:marLeft w:val="0"/>
          <w:marRight w:val="0"/>
          <w:marTop w:val="0"/>
          <w:marBottom w:val="0"/>
          <w:divBdr>
            <w:top w:val="none" w:sz="0" w:space="0" w:color="auto"/>
            <w:left w:val="none" w:sz="0" w:space="0" w:color="auto"/>
            <w:bottom w:val="none" w:sz="0" w:space="0" w:color="auto"/>
            <w:right w:val="none" w:sz="0" w:space="0" w:color="auto"/>
          </w:divBdr>
        </w:div>
        <w:div w:id="677929069">
          <w:marLeft w:val="0"/>
          <w:marRight w:val="0"/>
          <w:marTop w:val="0"/>
          <w:marBottom w:val="0"/>
          <w:divBdr>
            <w:top w:val="none" w:sz="0" w:space="0" w:color="auto"/>
            <w:left w:val="none" w:sz="0" w:space="0" w:color="auto"/>
            <w:bottom w:val="none" w:sz="0" w:space="0" w:color="auto"/>
            <w:right w:val="none" w:sz="0" w:space="0" w:color="auto"/>
          </w:divBdr>
        </w:div>
        <w:div w:id="778912938">
          <w:marLeft w:val="0"/>
          <w:marRight w:val="0"/>
          <w:marTop w:val="0"/>
          <w:marBottom w:val="0"/>
          <w:divBdr>
            <w:top w:val="none" w:sz="0" w:space="0" w:color="auto"/>
            <w:left w:val="none" w:sz="0" w:space="0" w:color="auto"/>
            <w:bottom w:val="none" w:sz="0" w:space="0" w:color="auto"/>
            <w:right w:val="none" w:sz="0" w:space="0" w:color="auto"/>
          </w:divBdr>
        </w:div>
        <w:div w:id="1013610856">
          <w:marLeft w:val="0"/>
          <w:marRight w:val="0"/>
          <w:marTop w:val="0"/>
          <w:marBottom w:val="0"/>
          <w:divBdr>
            <w:top w:val="none" w:sz="0" w:space="0" w:color="auto"/>
            <w:left w:val="none" w:sz="0" w:space="0" w:color="auto"/>
            <w:bottom w:val="none" w:sz="0" w:space="0" w:color="auto"/>
            <w:right w:val="none" w:sz="0" w:space="0" w:color="auto"/>
          </w:divBdr>
        </w:div>
        <w:div w:id="1023824325">
          <w:marLeft w:val="0"/>
          <w:marRight w:val="0"/>
          <w:marTop w:val="0"/>
          <w:marBottom w:val="0"/>
          <w:divBdr>
            <w:top w:val="none" w:sz="0" w:space="0" w:color="auto"/>
            <w:left w:val="none" w:sz="0" w:space="0" w:color="auto"/>
            <w:bottom w:val="none" w:sz="0" w:space="0" w:color="auto"/>
            <w:right w:val="none" w:sz="0" w:space="0" w:color="auto"/>
          </w:divBdr>
        </w:div>
        <w:div w:id="1145197988">
          <w:marLeft w:val="0"/>
          <w:marRight w:val="0"/>
          <w:marTop w:val="0"/>
          <w:marBottom w:val="0"/>
          <w:divBdr>
            <w:top w:val="none" w:sz="0" w:space="0" w:color="auto"/>
            <w:left w:val="none" w:sz="0" w:space="0" w:color="auto"/>
            <w:bottom w:val="none" w:sz="0" w:space="0" w:color="auto"/>
            <w:right w:val="none" w:sz="0" w:space="0" w:color="auto"/>
          </w:divBdr>
        </w:div>
        <w:div w:id="1558931114">
          <w:marLeft w:val="0"/>
          <w:marRight w:val="0"/>
          <w:marTop w:val="0"/>
          <w:marBottom w:val="0"/>
          <w:divBdr>
            <w:top w:val="none" w:sz="0" w:space="0" w:color="auto"/>
            <w:left w:val="none" w:sz="0" w:space="0" w:color="auto"/>
            <w:bottom w:val="none" w:sz="0" w:space="0" w:color="auto"/>
            <w:right w:val="none" w:sz="0" w:space="0" w:color="auto"/>
          </w:divBdr>
        </w:div>
        <w:div w:id="1662007775">
          <w:marLeft w:val="0"/>
          <w:marRight w:val="0"/>
          <w:marTop w:val="0"/>
          <w:marBottom w:val="0"/>
          <w:divBdr>
            <w:top w:val="none" w:sz="0" w:space="0" w:color="auto"/>
            <w:left w:val="none" w:sz="0" w:space="0" w:color="auto"/>
            <w:bottom w:val="none" w:sz="0" w:space="0" w:color="auto"/>
            <w:right w:val="none" w:sz="0" w:space="0" w:color="auto"/>
          </w:divBdr>
        </w:div>
      </w:divsChild>
    </w:div>
    <w:div w:id="132480446">
      <w:bodyDiv w:val="1"/>
      <w:marLeft w:val="0"/>
      <w:marRight w:val="0"/>
      <w:marTop w:val="0"/>
      <w:marBottom w:val="0"/>
      <w:divBdr>
        <w:top w:val="none" w:sz="0" w:space="0" w:color="auto"/>
        <w:left w:val="none" w:sz="0" w:space="0" w:color="auto"/>
        <w:bottom w:val="none" w:sz="0" w:space="0" w:color="auto"/>
        <w:right w:val="none" w:sz="0" w:space="0" w:color="auto"/>
      </w:divBdr>
    </w:div>
    <w:div w:id="142620546">
      <w:bodyDiv w:val="1"/>
      <w:marLeft w:val="0"/>
      <w:marRight w:val="0"/>
      <w:marTop w:val="0"/>
      <w:marBottom w:val="0"/>
      <w:divBdr>
        <w:top w:val="none" w:sz="0" w:space="0" w:color="auto"/>
        <w:left w:val="none" w:sz="0" w:space="0" w:color="auto"/>
        <w:bottom w:val="none" w:sz="0" w:space="0" w:color="auto"/>
        <w:right w:val="none" w:sz="0" w:space="0" w:color="auto"/>
      </w:divBdr>
    </w:div>
    <w:div w:id="179323171">
      <w:bodyDiv w:val="1"/>
      <w:marLeft w:val="0"/>
      <w:marRight w:val="0"/>
      <w:marTop w:val="0"/>
      <w:marBottom w:val="0"/>
      <w:divBdr>
        <w:top w:val="none" w:sz="0" w:space="0" w:color="auto"/>
        <w:left w:val="none" w:sz="0" w:space="0" w:color="auto"/>
        <w:bottom w:val="none" w:sz="0" w:space="0" w:color="auto"/>
        <w:right w:val="none" w:sz="0" w:space="0" w:color="auto"/>
      </w:divBdr>
      <w:divsChild>
        <w:div w:id="195234617">
          <w:marLeft w:val="864"/>
          <w:marRight w:val="0"/>
          <w:marTop w:val="240"/>
          <w:marBottom w:val="0"/>
          <w:divBdr>
            <w:top w:val="none" w:sz="0" w:space="0" w:color="auto"/>
            <w:left w:val="none" w:sz="0" w:space="0" w:color="auto"/>
            <w:bottom w:val="none" w:sz="0" w:space="0" w:color="auto"/>
            <w:right w:val="none" w:sz="0" w:space="0" w:color="auto"/>
          </w:divBdr>
        </w:div>
        <w:div w:id="216867321">
          <w:marLeft w:val="864"/>
          <w:marRight w:val="0"/>
          <w:marTop w:val="240"/>
          <w:marBottom w:val="0"/>
          <w:divBdr>
            <w:top w:val="none" w:sz="0" w:space="0" w:color="auto"/>
            <w:left w:val="none" w:sz="0" w:space="0" w:color="auto"/>
            <w:bottom w:val="none" w:sz="0" w:space="0" w:color="auto"/>
            <w:right w:val="none" w:sz="0" w:space="0" w:color="auto"/>
          </w:divBdr>
        </w:div>
        <w:div w:id="574783387">
          <w:marLeft w:val="864"/>
          <w:marRight w:val="0"/>
          <w:marTop w:val="240"/>
          <w:marBottom w:val="0"/>
          <w:divBdr>
            <w:top w:val="none" w:sz="0" w:space="0" w:color="auto"/>
            <w:left w:val="none" w:sz="0" w:space="0" w:color="auto"/>
            <w:bottom w:val="none" w:sz="0" w:space="0" w:color="auto"/>
            <w:right w:val="none" w:sz="0" w:space="0" w:color="auto"/>
          </w:divBdr>
        </w:div>
        <w:div w:id="805660603">
          <w:marLeft w:val="864"/>
          <w:marRight w:val="0"/>
          <w:marTop w:val="240"/>
          <w:marBottom w:val="0"/>
          <w:divBdr>
            <w:top w:val="none" w:sz="0" w:space="0" w:color="auto"/>
            <w:left w:val="none" w:sz="0" w:space="0" w:color="auto"/>
            <w:bottom w:val="none" w:sz="0" w:space="0" w:color="auto"/>
            <w:right w:val="none" w:sz="0" w:space="0" w:color="auto"/>
          </w:divBdr>
        </w:div>
        <w:div w:id="914827630">
          <w:marLeft w:val="864"/>
          <w:marRight w:val="0"/>
          <w:marTop w:val="240"/>
          <w:marBottom w:val="0"/>
          <w:divBdr>
            <w:top w:val="none" w:sz="0" w:space="0" w:color="auto"/>
            <w:left w:val="none" w:sz="0" w:space="0" w:color="auto"/>
            <w:bottom w:val="none" w:sz="0" w:space="0" w:color="auto"/>
            <w:right w:val="none" w:sz="0" w:space="0" w:color="auto"/>
          </w:divBdr>
        </w:div>
        <w:div w:id="1110197755">
          <w:marLeft w:val="864"/>
          <w:marRight w:val="0"/>
          <w:marTop w:val="240"/>
          <w:marBottom w:val="0"/>
          <w:divBdr>
            <w:top w:val="none" w:sz="0" w:space="0" w:color="auto"/>
            <w:left w:val="none" w:sz="0" w:space="0" w:color="auto"/>
            <w:bottom w:val="none" w:sz="0" w:space="0" w:color="auto"/>
            <w:right w:val="none" w:sz="0" w:space="0" w:color="auto"/>
          </w:divBdr>
        </w:div>
      </w:divsChild>
    </w:div>
    <w:div w:id="192423407">
      <w:bodyDiv w:val="1"/>
      <w:marLeft w:val="0"/>
      <w:marRight w:val="0"/>
      <w:marTop w:val="0"/>
      <w:marBottom w:val="0"/>
      <w:divBdr>
        <w:top w:val="none" w:sz="0" w:space="0" w:color="auto"/>
        <w:left w:val="none" w:sz="0" w:space="0" w:color="auto"/>
        <w:bottom w:val="none" w:sz="0" w:space="0" w:color="auto"/>
        <w:right w:val="none" w:sz="0" w:space="0" w:color="auto"/>
      </w:divBdr>
      <w:divsChild>
        <w:div w:id="230384586">
          <w:marLeft w:val="720"/>
          <w:marRight w:val="0"/>
          <w:marTop w:val="0"/>
          <w:marBottom w:val="0"/>
          <w:divBdr>
            <w:top w:val="none" w:sz="0" w:space="0" w:color="auto"/>
            <w:left w:val="none" w:sz="0" w:space="0" w:color="auto"/>
            <w:bottom w:val="none" w:sz="0" w:space="0" w:color="auto"/>
            <w:right w:val="none" w:sz="0" w:space="0" w:color="auto"/>
          </w:divBdr>
        </w:div>
        <w:div w:id="1212351115">
          <w:marLeft w:val="720"/>
          <w:marRight w:val="0"/>
          <w:marTop w:val="0"/>
          <w:marBottom w:val="0"/>
          <w:divBdr>
            <w:top w:val="none" w:sz="0" w:space="0" w:color="auto"/>
            <w:left w:val="none" w:sz="0" w:space="0" w:color="auto"/>
            <w:bottom w:val="none" w:sz="0" w:space="0" w:color="auto"/>
            <w:right w:val="none" w:sz="0" w:space="0" w:color="auto"/>
          </w:divBdr>
        </w:div>
        <w:div w:id="833643677">
          <w:marLeft w:val="720"/>
          <w:marRight w:val="0"/>
          <w:marTop w:val="0"/>
          <w:marBottom w:val="0"/>
          <w:divBdr>
            <w:top w:val="none" w:sz="0" w:space="0" w:color="auto"/>
            <w:left w:val="none" w:sz="0" w:space="0" w:color="auto"/>
            <w:bottom w:val="none" w:sz="0" w:space="0" w:color="auto"/>
            <w:right w:val="none" w:sz="0" w:space="0" w:color="auto"/>
          </w:divBdr>
        </w:div>
        <w:div w:id="1851292586">
          <w:marLeft w:val="720"/>
          <w:marRight w:val="0"/>
          <w:marTop w:val="0"/>
          <w:marBottom w:val="0"/>
          <w:divBdr>
            <w:top w:val="none" w:sz="0" w:space="0" w:color="auto"/>
            <w:left w:val="none" w:sz="0" w:space="0" w:color="auto"/>
            <w:bottom w:val="none" w:sz="0" w:space="0" w:color="auto"/>
            <w:right w:val="none" w:sz="0" w:space="0" w:color="auto"/>
          </w:divBdr>
        </w:div>
        <w:div w:id="213395314">
          <w:marLeft w:val="720"/>
          <w:marRight w:val="0"/>
          <w:marTop w:val="0"/>
          <w:marBottom w:val="0"/>
          <w:divBdr>
            <w:top w:val="none" w:sz="0" w:space="0" w:color="auto"/>
            <w:left w:val="none" w:sz="0" w:space="0" w:color="auto"/>
            <w:bottom w:val="none" w:sz="0" w:space="0" w:color="auto"/>
            <w:right w:val="none" w:sz="0" w:space="0" w:color="auto"/>
          </w:divBdr>
        </w:div>
        <w:div w:id="1795249605">
          <w:marLeft w:val="720"/>
          <w:marRight w:val="0"/>
          <w:marTop w:val="0"/>
          <w:marBottom w:val="0"/>
          <w:divBdr>
            <w:top w:val="none" w:sz="0" w:space="0" w:color="auto"/>
            <w:left w:val="none" w:sz="0" w:space="0" w:color="auto"/>
            <w:bottom w:val="none" w:sz="0" w:space="0" w:color="auto"/>
            <w:right w:val="none" w:sz="0" w:space="0" w:color="auto"/>
          </w:divBdr>
        </w:div>
      </w:divsChild>
    </w:div>
    <w:div w:id="243224578">
      <w:bodyDiv w:val="1"/>
      <w:marLeft w:val="0"/>
      <w:marRight w:val="0"/>
      <w:marTop w:val="0"/>
      <w:marBottom w:val="0"/>
      <w:divBdr>
        <w:top w:val="none" w:sz="0" w:space="0" w:color="auto"/>
        <w:left w:val="none" w:sz="0" w:space="0" w:color="auto"/>
        <w:bottom w:val="none" w:sz="0" w:space="0" w:color="auto"/>
        <w:right w:val="none" w:sz="0" w:space="0" w:color="auto"/>
      </w:divBdr>
    </w:div>
    <w:div w:id="271716769">
      <w:bodyDiv w:val="1"/>
      <w:marLeft w:val="0"/>
      <w:marRight w:val="0"/>
      <w:marTop w:val="0"/>
      <w:marBottom w:val="0"/>
      <w:divBdr>
        <w:top w:val="none" w:sz="0" w:space="0" w:color="auto"/>
        <w:left w:val="none" w:sz="0" w:space="0" w:color="auto"/>
        <w:bottom w:val="none" w:sz="0" w:space="0" w:color="auto"/>
        <w:right w:val="none" w:sz="0" w:space="0" w:color="auto"/>
      </w:divBdr>
    </w:div>
    <w:div w:id="275992650">
      <w:bodyDiv w:val="1"/>
      <w:marLeft w:val="0"/>
      <w:marRight w:val="0"/>
      <w:marTop w:val="0"/>
      <w:marBottom w:val="0"/>
      <w:divBdr>
        <w:top w:val="none" w:sz="0" w:space="0" w:color="auto"/>
        <w:left w:val="none" w:sz="0" w:space="0" w:color="auto"/>
        <w:bottom w:val="none" w:sz="0" w:space="0" w:color="auto"/>
        <w:right w:val="none" w:sz="0" w:space="0" w:color="auto"/>
      </w:divBdr>
      <w:divsChild>
        <w:div w:id="173804585">
          <w:marLeft w:val="0"/>
          <w:marRight w:val="0"/>
          <w:marTop w:val="0"/>
          <w:marBottom w:val="0"/>
          <w:divBdr>
            <w:top w:val="none" w:sz="0" w:space="0" w:color="auto"/>
            <w:left w:val="none" w:sz="0" w:space="0" w:color="auto"/>
            <w:bottom w:val="none" w:sz="0" w:space="0" w:color="auto"/>
            <w:right w:val="none" w:sz="0" w:space="0" w:color="auto"/>
          </w:divBdr>
        </w:div>
        <w:div w:id="651717730">
          <w:marLeft w:val="0"/>
          <w:marRight w:val="0"/>
          <w:marTop w:val="0"/>
          <w:marBottom w:val="0"/>
          <w:divBdr>
            <w:top w:val="none" w:sz="0" w:space="0" w:color="auto"/>
            <w:left w:val="none" w:sz="0" w:space="0" w:color="auto"/>
            <w:bottom w:val="none" w:sz="0" w:space="0" w:color="auto"/>
            <w:right w:val="none" w:sz="0" w:space="0" w:color="auto"/>
          </w:divBdr>
        </w:div>
      </w:divsChild>
    </w:div>
    <w:div w:id="293407958">
      <w:bodyDiv w:val="1"/>
      <w:marLeft w:val="0"/>
      <w:marRight w:val="0"/>
      <w:marTop w:val="0"/>
      <w:marBottom w:val="0"/>
      <w:divBdr>
        <w:top w:val="none" w:sz="0" w:space="0" w:color="auto"/>
        <w:left w:val="none" w:sz="0" w:space="0" w:color="auto"/>
        <w:bottom w:val="none" w:sz="0" w:space="0" w:color="auto"/>
        <w:right w:val="none" w:sz="0" w:space="0" w:color="auto"/>
      </w:divBdr>
      <w:divsChild>
        <w:div w:id="1376656953">
          <w:marLeft w:val="418"/>
          <w:marRight w:val="0"/>
          <w:marTop w:val="120"/>
          <w:marBottom w:val="0"/>
          <w:divBdr>
            <w:top w:val="none" w:sz="0" w:space="0" w:color="auto"/>
            <w:left w:val="none" w:sz="0" w:space="0" w:color="auto"/>
            <w:bottom w:val="none" w:sz="0" w:space="0" w:color="auto"/>
            <w:right w:val="none" w:sz="0" w:space="0" w:color="auto"/>
          </w:divBdr>
        </w:div>
      </w:divsChild>
    </w:div>
    <w:div w:id="330528100">
      <w:bodyDiv w:val="1"/>
      <w:marLeft w:val="0"/>
      <w:marRight w:val="0"/>
      <w:marTop w:val="0"/>
      <w:marBottom w:val="0"/>
      <w:divBdr>
        <w:top w:val="none" w:sz="0" w:space="0" w:color="auto"/>
        <w:left w:val="none" w:sz="0" w:space="0" w:color="auto"/>
        <w:bottom w:val="none" w:sz="0" w:space="0" w:color="auto"/>
        <w:right w:val="none" w:sz="0" w:space="0" w:color="auto"/>
      </w:divBdr>
    </w:div>
    <w:div w:id="345837490">
      <w:bodyDiv w:val="1"/>
      <w:marLeft w:val="0"/>
      <w:marRight w:val="0"/>
      <w:marTop w:val="0"/>
      <w:marBottom w:val="0"/>
      <w:divBdr>
        <w:top w:val="none" w:sz="0" w:space="0" w:color="auto"/>
        <w:left w:val="none" w:sz="0" w:space="0" w:color="auto"/>
        <w:bottom w:val="none" w:sz="0" w:space="0" w:color="auto"/>
        <w:right w:val="none" w:sz="0" w:space="0" w:color="auto"/>
      </w:divBdr>
    </w:div>
    <w:div w:id="350837781">
      <w:bodyDiv w:val="1"/>
      <w:marLeft w:val="0"/>
      <w:marRight w:val="0"/>
      <w:marTop w:val="0"/>
      <w:marBottom w:val="0"/>
      <w:divBdr>
        <w:top w:val="none" w:sz="0" w:space="0" w:color="auto"/>
        <w:left w:val="none" w:sz="0" w:space="0" w:color="auto"/>
        <w:bottom w:val="none" w:sz="0" w:space="0" w:color="auto"/>
        <w:right w:val="none" w:sz="0" w:space="0" w:color="auto"/>
      </w:divBdr>
    </w:div>
    <w:div w:id="352851507">
      <w:bodyDiv w:val="1"/>
      <w:marLeft w:val="0"/>
      <w:marRight w:val="0"/>
      <w:marTop w:val="0"/>
      <w:marBottom w:val="0"/>
      <w:divBdr>
        <w:top w:val="none" w:sz="0" w:space="0" w:color="auto"/>
        <w:left w:val="none" w:sz="0" w:space="0" w:color="auto"/>
        <w:bottom w:val="none" w:sz="0" w:space="0" w:color="auto"/>
        <w:right w:val="none" w:sz="0" w:space="0" w:color="auto"/>
      </w:divBdr>
      <w:divsChild>
        <w:div w:id="290210067">
          <w:marLeft w:val="547"/>
          <w:marRight w:val="0"/>
          <w:marTop w:val="0"/>
          <w:marBottom w:val="0"/>
          <w:divBdr>
            <w:top w:val="none" w:sz="0" w:space="0" w:color="auto"/>
            <w:left w:val="none" w:sz="0" w:space="0" w:color="auto"/>
            <w:bottom w:val="none" w:sz="0" w:space="0" w:color="auto"/>
            <w:right w:val="none" w:sz="0" w:space="0" w:color="auto"/>
          </w:divBdr>
        </w:div>
      </w:divsChild>
    </w:div>
    <w:div w:id="361588360">
      <w:bodyDiv w:val="1"/>
      <w:marLeft w:val="0"/>
      <w:marRight w:val="0"/>
      <w:marTop w:val="0"/>
      <w:marBottom w:val="0"/>
      <w:divBdr>
        <w:top w:val="none" w:sz="0" w:space="0" w:color="auto"/>
        <w:left w:val="none" w:sz="0" w:space="0" w:color="auto"/>
        <w:bottom w:val="none" w:sz="0" w:space="0" w:color="auto"/>
        <w:right w:val="none" w:sz="0" w:space="0" w:color="auto"/>
      </w:divBdr>
      <w:divsChild>
        <w:div w:id="391343836">
          <w:marLeft w:val="965"/>
          <w:marRight w:val="0"/>
          <w:marTop w:val="77"/>
          <w:marBottom w:val="0"/>
          <w:divBdr>
            <w:top w:val="none" w:sz="0" w:space="0" w:color="auto"/>
            <w:left w:val="none" w:sz="0" w:space="0" w:color="auto"/>
            <w:bottom w:val="none" w:sz="0" w:space="0" w:color="auto"/>
            <w:right w:val="none" w:sz="0" w:space="0" w:color="auto"/>
          </w:divBdr>
        </w:div>
      </w:divsChild>
    </w:div>
    <w:div w:id="361635703">
      <w:bodyDiv w:val="1"/>
      <w:marLeft w:val="0"/>
      <w:marRight w:val="0"/>
      <w:marTop w:val="0"/>
      <w:marBottom w:val="0"/>
      <w:divBdr>
        <w:top w:val="none" w:sz="0" w:space="0" w:color="auto"/>
        <w:left w:val="none" w:sz="0" w:space="0" w:color="auto"/>
        <w:bottom w:val="none" w:sz="0" w:space="0" w:color="auto"/>
        <w:right w:val="none" w:sz="0" w:space="0" w:color="auto"/>
      </w:divBdr>
      <w:divsChild>
        <w:div w:id="184901192">
          <w:marLeft w:val="0"/>
          <w:marRight w:val="0"/>
          <w:marTop w:val="0"/>
          <w:marBottom w:val="0"/>
          <w:divBdr>
            <w:top w:val="none" w:sz="0" w:space="0" w:color="auto"/>
            <w:left w:val="none" w:sz="0" w:space="0" w:color="auto"/>
            <w:bottom w:val="none" w:sz="0" w:space="0" w:color="auto"/>
            <w:right w:val="none" w:sz="0" w:space="0" w:color="auto"/>
          </w:divBdr>
        </w:div>
        <w:div w:id="198713273">
          <w:marLeft w:val="0"/>
          <w:marRight w:val="0"/>
          <w:marTop w:val="0"/>
          <w:marBottom w:val="0"/>
          <w:divBdr>
            <w:top w:val="none" w:sz="0" w:space="0" w:color="auto"/>
            <w:left w:val="none" w:sz="0" w:space="0" w:color="auto"/>
            <w:bottom w:val="none" w:sz="0" w:space="0" w:color="auto"/>
            <w:right w:val="none" w:sz="0" w:space="0" w:color="auto"/>
          </w:divBdr>
        </w:div>
        <w:div w:id="212540670">
          <w:marLeft w:val="0"/>
          <w:marRight w:val="0"/>
          <w:marTop w:val="0"/>
          <w:marBottom w:val="0"/>
          <w:divBdr>
            <w:top w:val="none" w:sz="0" w:space="0" w:color="auto"/>
            <w:left w:val="none" w:sz="0" w:space="0" w:color="auto"/>
            <w:bottom w:val="none" w:sz="0" w:space="0" w:color="auto"/>
            <w:right w:val="none" w:sz="0" w:space="0" w:color="auto"/>
          </w:divBdr>
        </w:div>
        <w:div w:id="251548240">
          <w:marLeft w:val="0"/>
          <w:marRight w:val="0"/>
          <w:marTop w:val="0"/>
          <w:marBottom w:val="0"/>
          <w:divBdr>
            <w:top w:val="none" w:sz="0" w:space="0" w:color="auto"/>
            <w:left w:val="none" w:sz="0" w:space="0" w:color="auto"/>
            <w:bottom w:val="none" w:sz="0" w:space="0" w:color="auto"/>
            <w:right w:val="none" w:sz="0" w:space="0" w:color="auto"/>
          </w:divBdr>
        </w:div>
        <w:div w:id="561212792">
          <w:marLeft w:val="0"/>
          <w:marRight w:val="0"/>
          <w:marTop w:val="0"/>
          <w:marBottom w:val="0"/>
          <w:divBdr>
            <w:top w:val="none" w:sz="0" w:space="0" w:color="auto"/>
            <w:left w:val="none" w:sz="0" w:space="0" w:color="auto"/>
            <w:bottom w:val="none" w:sz="0" w:space="0" w:color="auto"/>
            <w:right w:val="none" w:sz="0" w:space="0" w:color="auto"/>
          </w:divBdr>
        </w:div>
        <w:div w:id="1206404384">
          <w:marLeft w:val="0"/>
          <w:marRight w:val="0"/>
          <w:marTop w:val="0"/>
          <w:marBottom w:val="0"/>
          <w:divBdr>
            <w:top w:val="none" w:sz="0" w:space="0" w:color="auto"/>
            <w:left w:val="none" w:sz="0" w:space="0" w:color="auto"/>
            <w:bottom w:val="none" w:sz="0" w:space="0" w:color="auto"/>
            <w:right w:val="none" w:sz="0" w:space="0" w:color="auto"/>
          </w:divBdr>
        </w:div>
        <w:div w:id="1207908322">
          <w:marLeft w:val="0"/>
          <w:marRight w:val="0"/>
          <w:marTop w:val="0"/>
          <w:marBottom w:val="0"/>
          <w:divBdr>
            <w:top w:val="none" w:sz="0" w:space="0" w:color="auto"/>
            <w:left w:val="none" w:sz="0" w:space="0" w:color="auto"/>
            <w:bottom w:val="none" w:sz="0" w:space="0" w:color="auto"/>
            <w:right w:val="none" w:sz="0" w:space="0" w:color="auto"/>
          </w:divBdr>
        </w:div>
        <w:div w:id="1555316448">
          <w:marLeft w:val="0"/>
          <w:marRight w:val="0"/>
          <w:marTop w:val="0"/>
          <w:marBottom w:val="0"/>
          <w:divBdr>
            <w:top w:val="none" w:sz="0" w:space="0" w:color="auto"/>
            <w:left w:val="none" w:sz="0" w:space="0" w:color="auto"/>
            <w:bottom w:val="none" w:sz="0" w:space="0" w:color="auto"/>
            <w:right w:val="none" w:sz="0" w:space="0" w:color="auto"/>
          </w:divBdr>
        </w:div>
        <w:div w:id="1927106335">
          <w:marLeft w:val="0"/>
          <w:marRight w:val="0"/>
          <w:marTop w:val="0"/>
          <w:marBottom w:val="0"/>
          <w:divBdr>
            <w:top w:val="none" w:sz="0" w:space="0" w:color="auto"/>
            <w:left w:val="none" w:sz="0" w:space="0" w:color="auto"/>
            <w:bottom w:val="none" w:sz="0" w:space="0" w:color="auto"/>
            <w:right w:val="none" w:sz="0" w:space="0" w:color="auto"/>
          </w:divBdr>
        </w:div>
        <w:div w:id="2111316024">
          <w:marLeft w:val="0"/>
          <w:marRight w:val="0"/>
          <w:marTop w:val="0"/>
          <w:marBottom w:val="0"/>
          <w:divBdr>
            <w:top w:val="none" w:sz="0" w:space="0" w:color="auto"/>
            <w:left w:val="none" w:sz="0" w:space="0" w:color="auto"/>
            <w:bottom w:val="none" w:sz="0" w:space="0" w:color="auto"/>
            <w:right w:val="none" w:sz="0" w:space="0" w:color="auto"/>
          </w:divBdr>
        </w:div>
        <w:div w:id="2131901698">
          <w:marLeft w:val="0"/>
          <w:marRight w:val="0"/>
          <w:marTop w:val="0"/>
          <w:marBottom w:val="0"/>
          <w:divBdr>
            <w:top w:val="none" w:sz="0" w:space="0" w:color="auto"/>
            <w:left w:val="none" w:sz="0" w:space="0" w:color="auto"/>
            <w:bottom w:val="none" w:sz="0" w:space="0" w:color="auto"/>
            <w:right w:val="none" w:sz="0" w:space="0" w:color="auto"/>
          </w:divBdr>
        </w:div>
      </w:divsChild>
    </w:div>
    <w:div w:id="366640187">
      <w:bodyDiv w:val="1"/>
      <w:marLeft w:val="0"/>
      <w:marRight w:val="0"/>
      <w:marTop w:val="0"/>
      <w:marBottom w:val="0"/>
      <w:divBdr>
        <w:top w:val="none" w:sz="0" w:space="0" w:color="auto"/>
        <w:left w:val="none" w:sz="0" w:space="0" w:color="auto"/>
        <w:bottom w:val="none" w:sz="0" w:space="0" w:color="auto"/>
        <w:right w:val="none" w:sz="0" w:space="0" w:color="auto"/>
      </w:divBdr>
    </w:div>
    <w:div w:id="367030997">
      <w:bodyDiv w:val="1"/>
      <w:marLeft w:val="0"/>
      <w:marRight w:val="0"/>
      <w:marTop w:val="0"/>
      <w:marBottom w:val="0"/>
      <w:divBdr>
        <w:top w:val="none" w:sz="0" w:space="0" w:color="auto"/>
        <w:left w:val="none" w:sz="0" w:space="0" w:color="auto"/>
        <w:bottom w:val="none" w:sz="0" w:space="0" w:color="auto"/>
        <w:right w:val="none" w:sz="0" w:space="0" w:color="auto"/>
      </w:divBdr>
    </w:div>
    <w:div w:id="373696863">
      <w:bodyDiv w:val="1"/>
      <w:marLeft w:val="0"/>
      <w:marRight w:val="0"/>
      <w:marTop w:val="0"/>
      <w:marBottom w:val="0"/>
      <w:divBdr>
        <w:top w:val="none" w:sz="0" w:space="0" w:color="auto"/>
        <w:left w:val="none" w:sz="0" w:space="0" w:color="auto"/>
        <w:bottom w:val="none" w:sz="0" w:space="0" w:color="auto"/>
        <w:right w:val="none" w:sz="0" w:space="0" w:color="auto"/>
      </w:divBdr>
    </w:div>
    <w:div w:id="381252277">
      <w:bodyDiv w:val="1"/>
      <w:marLeft w:val="0"/>
      <w:marRight w:val="0"/>
      <w:marTop w:val="0"/>
      <w:marBottom w:val="0"/>
      <w:divBdr>
        <w:top w:val="none" w:sz="0" w:space="0" w:color="auto"/>
        <w:left w:val="none" w:sz="0" w:space="0" w:color="auto"/>
        <w:bottom w:val="none" w:sz="0" w:space="0" w:color="auto"/>
        <w:right w:val="none" w:sz="0" w:space="0" w:color="auto"/>
      </w:divBdr>
    </w:div>
    <w:div w:id="389038353">
      <w:bodyDiv w:val="1"/>
      <w:marLeft w:val="0"/>
      <w:marRight w:val="0"/>
      <w:marTop w:val="0"/>
      <w:marBottom w:val="0"/>
      <w:divBdr>
        <w:top w:val="none" w:sz="0" w:space="0" w:color="auto"/>
        <w:left w:val="none" w:sz="0" w:space="0" w:color="auto"/>
        <w:bottom w:val="none" w:sz="0" w:space="0" w:color="auto"/>
        <w:right w:val="none" w:sz="0" w:space="0" w:color="auto"/>
      </w:divBdr>
    </w:div>
    <w:div w:id="425225684">
      <w:bodyDiv w:val="1"/>
      <w:marLeft w:val="0"/>
      <w:marRight w:val="0"/>
      <w:marTop w:val="0"/>
      <w:marBottom w:val="0"/>
      <w:divBdr>
        <w:top w:val="none" w:sz="0" w:space="0" w:color="auto"/>
        <w:left w:val="none" w:sz="0" w:space="0" w:color="auto"/>
        <w:bottom w:val="none" w:sz="0" w:space="0" w:color="auto"/>
        <w:right w:val="none" w:sz="0" w:space="0" w:color="auto"/>
      </w:divBdr>
    </w:div>
    <w:div w:id="445009213">
      <w:bodyDiv w:val="1"/>
      <w:marLeft w:val="0"/>
      <w:marRight w:val="0"/>
      <w:marTop w:val="0"/>
      <w:marBottom w:val="0"/>
      <w:divBdr>
        <w:top w:val="none" w:sz="0" w:space="0" w:color="auto"/>
        <w:left w:val="none" w:sz="0" w:space="0" w:color="auto"/>
        <w:bottom w:val="none" w:sz="0" w:space="0" w:color="auto"/>
        <w:right w:val="none" w:sz="0" w:space="0" w:color="auto"/>
      </w:divBdr>
      <w:divsChild>
        <w:div w:id="78412577">
          <w:marLeft w:val="0"/>
          <w:marRight w:val="0"/>
          <w:marTop w:val="0"/>
          <w:marBottom w:val="0"/>
          <w:divBdr>
            <w:top w:val="none" w:sz="0" w:space="0" w:color="auto"/>
            <w:left w:val="none" w:sz="0" w:space="0" w:color="auto"/>
            <w:bottom w:val="none" w:sz="0" w:space="0" w:color="auto"/>
            <w:right w:val="none" w:sz="0" w:space="0" w:color="auto"/>
          </w:divBdr>
        </w:div>
        <w:div w:id="247661491">
          <w:marLeft w:val="0"/>
          <w:marRight w:val="0"/>
          <w:marTop w:val="0"/>
          <w:marBottom w:val="0"/>
          <w:divBdr>
            <w:top w:val="none" w:sz="0" w:space="0" w:color="auto"/>
            <w:left w:val="none" w:sz="0" w:space="0" w:color="auto"/>
            <w:bottom w:val="none" w:sz="0" w:space="0" w:color="auto"/>
            <w:right w:val="none" w:sz="0" w:space="0" w:color="auto"/>
          </w:divBdr>
        </w:div>
        <w:div w:id="294680444">
          <w:marLeft w:val="0"/>
          <w:marRight w:val="0"/>
          <w:marTop w:val="0"/>
          <w:marBottom w:val="0"/>
          <w:divBdr>
            <w:top w:val="none" w:sz="0" w:space="0" w:color="auto"/>
            <w:left w:val="none" w:sz="0" w:space="0" w:color="auto"/>
            <w:bottom w:val="none" w:sz="0" w:space="0" w:color="auto"/>
            <w:right w:val="none" w:sz="0" w:space="0" w:color="auto"/>
          </w:divBdr>
        </w:div>
        <w:div w:id="610942728">
          <w:marLeft w:val="0"/>
          <w:marRight w:val="0"/>
          <w:marTop w:val="0"/>
          <w:marBottom w:val="0"/>
          <w:divBdr>
            <w:top w:val="none" w:sz="0" w:space="0" w:color="auto"/>
            <w:left w:val="none" w:sz="0" w:space="0" w:color="auto"/>
            <w:bottom w:val="none" w:sz="0" w:space="0" w:color="auto"/>
            <w:right w:val="none" w:sz="0" w:space="0" w:color="auto"/>
          </w:divBdr>
        </w:div>
        <w:div w:id="616915864">
          <w:marLeft w:val="0"/>
          <w:marRight w:val="0"/>
          <w:marTop w:val="0"/>
          <w:marBottom w:val="0"/>
          <w:divBdr>
            <w:top w:val="none" w:sz="0" w:space="0" w:color="auto"/>
            <w:left w:val="none" w:sz="0" w:space="0" w:color="auto"/>
            <w:bottom w:val="none" w:sz="0" w:space="0" w:color="auto"/>
            <w:right w:val="none" w:sz="0" w:space="0" w:color="auto"/>
          </w:divBdr>
        </w:div>
        <w:div w:id="652489699">
          <w:marLeft w:val="0"/>
          <w:marRight w:val="0"/>
          <w:marTop w:val="0"/>
          <w:marBottom w:val="0"/>
          <w:divBdr>
            <w:top w:val="none" w:sz="0" w:space="0" w:color="auto"/>
            <w:left w:val="none" w:sz="0" w:space="0" w:color="auto"/>
            <w:bottom w:val="none" w:sz="0" w:space="0" w:color="auto"/>
            <w:right w:val="none" w:sz="0" w:space="0" w:color="auto"/>
          </w:divBdr>
        </w:div>
        <w:div w:id="672799523">
          <w:marLeft w:val="0"/>
          <w:marRight w:val="0"/>
          <w:marTop w:val="0"/>
          <w:marBottom w:val="0"/>
          <w:divBdr>
            <w:top w:val="none" w:sz="0" w:space="0" w:color="auto"/>
            <w:left w:val="none" w:sz="0" w:space="0" w:color="auto"/>
            <w:bottom w:val="none" w:sz="0" w:space="0" w:color="auto"/>
            <w:right w:val="none" w:sz="0" w:space="0" w:color="auto"/>
          </w:divBdr>
        </w:div>
        <w:div w:id="1039402617">
          <w:marLeft w:val="0"/>
          <w:marRight w:val="0"/>
          <w:marTop w:val="0"/>
          <w:marBottom w:val="0"/>
          <w:divBdr>
            <w:top w:val="none" w:sz="0" w:space="0" w:color="auto"/>
            <w:left w:val="none" w:sz="0" w:space="0" w:color="auto"/>
            <w:bottom w:val="none" w:sz="0" w:space="0" w:color="auto"/>
            <w:right w:val="none" w:sz="0" w:space="0" w:color="auto"/>
          </w:divBdr>
        </w:div>
        <w:div w:id="1295333844">
          <w:marLeft w:val="0"/>
          <w:marRight w:val="0"/>
          <w:marTop w:val="0"/>
          <w:marBottom w:val="0"/>
          <w:divBdr>
            <w:top w:val="none" w:sz="0" w:space="0" w:color="auto"/>
            <w:left w:val="none" w:sz="0" w:space="0" w:color="auto"/>
            <w:bottom w:val="none" w:sz="0" w:space="0" w:color="auto"/>
            <w:right w:val="none" w:sz="0" w:space="0" w:color="auto"/>
          </w:divBdr>
        </w:div>
        <w:div w:id="1565094108">
          <w:marLeft w:val="0"/>
          <w:marRight w:val="0"/>
          <w:marTop w:val="0"/>
          <w:marBottom w:val="0"/>
          <w:divBdr>
            <w:top w:val="none" w:sz="0" w:space="0" w:color="auto"/>
            <w:left w:val="none" w:sz="0" w:space="0" w:color="auto"/>
            <w:bottom w:val="none" w:sz="0" w:space="0" w:color="auto"/>
            <w:right w:val="none" w:sz="0" w:space="0" w:color="auto"/>
          </w:divBdr>
        </w:div>
        <w:div w:id="1801991833">
          <w:marLeft w:val="0"/>
          <w:marRight w:val="0"/>
          <w:marTop w:val="0"/>
          <w:marBottom w:val="0"/>
          <w:divBdr>
            <w:top w:val="none" w:sz="0" w:space="0" w:color="auto"/>
            <w:left w:val="none" w:sz="0" w:space="0" w:color="auto"/>
            <w:bottom w:val="none" w:sz="0" w:space="0" w:color="auto"/>
            <w:right w:val="none" w:sz="0" w:space="0" w:color="auto"/>
          </w:divBdr>
        </w:div>
      </w:divsChild>
    </w:div>
    <w:div w:id="453714695">
      <w:bodyDiv w:val="1"/>
      <w:marLeft w:val="0"/>
      <w:marRight w:val="0"/>
      <w:marTop w:val="0"/>
      <w:marBottom w:val="0"/>
      <w:divBdr>
        <w:top w:val="none" w:sz="0" w:space="0" w:color="auto"/>
        <w:left w:val="none" w:sz="0" w:space="0" w:color="auto"/>
        <w:bottom w:val="none" w:sz="0" w:space="0" w:color="auto"/>
        <w:right w:val="none" w:sz="0" w:space="0" w:color="auto"/>
      </w:divBdr>
    </w:div>
    <w:div w:id="464127021">
      <w:bodyDiv w:val="1"/>
      <w:marLeft w:val="0"/>
      <w:marRight w:val="0"/>
      <w:marTop w:val="0"/>
      <w:marBottom w:val="0"/>
      <w:divBdr>
        <w:top w:val="none" w:sz="0" w:space="0" w:color="auto"/>
        <w:left w:val="none" w:sz="0" w:space="0" w:color="auto"/>
        <w:bottom w:val="none" w:sz="0" w:space="0" w:color="auto"/>
        <w:right w:val="none" w:sz="0" w:space="0" w:color="auto"/>
      </w:divBdr>
    </w:div>
    <w:div w:id="474027327">
      <w:bodyDiv w:val="1"/>
      <w:marLeft w:val="0"/>
      <w:marRight w:val="0"/>
      <w:marTop w:val="0"/>
      <w:marBottom w:val="0"/>
      <w:divBdr>
        <w:top w:val="none" w:sz="0" w:space="0" w:color="auto"/>
        <w:left w:val="none" w:sz="0" w:space="0" w:color="auto"/>
        <w:bottom w:val="none" w:sz="0" w:space="0" w:color="auto"/>
        <w:right w:val="none" w:sz="0" w:space="0" w:color="auto"/>
      </w:divBdr>
      <w:divsChild>
        <w:div w:id="189800906">
          <w:marLeft w:val="0"/>
          <w:marRight w:val="0"/>
          <w:marTop w:val="0"/>
          <w:marBottom w:val="0"/>
          <w:divBdr>
            <w:top w:val="none" w:sz="0" w:space="0" w:color="auto"/>
            <w:left w:val="none" w:sz="0" w:space="0" w:color="auto"/>
            <w:bottom w:val="none" w:sz="0" w:space="0" w:color="auto"/>
            <w:right w:val="none" w:sz="0" w:space="0" w:color="auto"/>
          </w:divBdr>
        </w:div>
        <w:div w:id="334694590">
          <w:marLeft w:val="0"/>
          <w:marRight w:val="0"/>
          <w:marTop w:val="0"/>
          <w:marBottom w:val="0"/>
          <w:divBdr>
            <w:top w:val="none" w:sz="0" w:space="0" w:color="auto"/>
            <w:left w:val="none" w:sz="0" w:space="0" w:color="auto"/>
            <w:bottom w:val="none" w:sz="0" w:space="0" w:color="auto"/>
            <w:right w:val="none" w:sz="0" w:space="0" w:color="auto"/>
          </w:divBdr>
        </w:div>
        <w:div w:id="524751317">
          <w:marLeft w:val="0"/>
          <w:marRight w:val="0"/>
          <w:marTop w:val="0"/>
          <w:marBottom w:val="0"/>
          <w:divBdr>
            <w:top w:val="none" w:sz="0" w:space="0" w:color="auto"/>
            <w:left w:val="none" w:sz="0" w:space="0" w:color="auto"/>
            <w:bottom w:val="none" w:sz="0" w:space="0" w:color="auto"/>
            <w:right w:val="none" w:sz="0" w:space="0" w:color="auto"/>
          </w:divBdr>
        </w:div>
        <w:div w:id="527375787">
          <w:marLeft w:val="0"/>
          <w:marRight w:val="0"/>
          <w:marTop w:val="0"/>
          <w:marBottom w:val="0"/>
          <w:divBdr>
            <w:top w:val="none" w:sz="0" w:space="0" w:color="auto"/>
            <w:left w:val="none" w:sz="0" w:space="0" w:color="auto"/>
            <w:bottom w:val="none" w:sz="0" w:space="0" w:color="auto"/>
            <w:right w:val="none" w:sz="0" w:space="0" w:color="auto"/>
          </w:divBdr>
        </w:div>
        <w:div w:id="563099839">
          <w:marLeft w:val="0"/>
          <w:marRight w:val="0"/>
          <w:marTop w:val="0"/>
          <w:marBottom w:val="0"/>
          <w:divBdr>
            <w:top w:val="none" w:sz="0" w:space="0" w:color="auto"/>
            <w:left w:val="none" w:sz="0" w:space="0" w:color="auto"/>
            <w:bottom w:val="none" w:sz="0" w:space="0" w:color="auto"/>
            <w:right w:val="none" w:sz="0" w:space="0" w:color="auto"/>
          </w:divBdr>
        </w:div>
        <w:div w:id="886717732">
          <w:marLeft w:val="0"/>
          <w:marRight w:val="0"/>
          <w:marTop w:val="0"/>
          <w:marBottom w:val="0"/>
          <w:divBdr>
            <w:top w:val="none" w:sz="0" w:space="0" w:color="auto"/>
            <w:left w:val="none" w:sz="0" w:space="0" w:color="auto"/>
            <w:bottom w:val="none" w:sz="0" w:space="0" w:color="auto"/>
            <w:right w:val="none" w:sz="0" w:space="0" w:color="auto"/>
          </w:divBdr>
        </w:div>
        <w:div w:id="904797193">
          <w:marLeft w:val="0"/>
          <w:marRight w:val="0"/>
          <w:marTop w:val="0"/>
          <w:marBottom w:val="0"/>
          <w:divBdr>
            <w:top w:val="none" w:sz="0" w:space="0" w:color="auto"/>
            <w:left w:val="none" w:sz="0" w:space="0" w:color="auto"/>
            <w:bottom w:val="none" w:sz="0" w:space="0" w:color="auto"/>
            <w:right w:val="none" w:sz="0" w:space="0" w:color="auto"/>
          </w:divBdr>
        </w:div>
        <w:div w:id="998777759">
          <w:marLeft w:val="0"/>
          <w:marRight w:val="0"/>
          <w:marTop w:val="0"/>
          <w:marBottom w:val="0"/>
          <w:divBdr>
            <w:top w:val="none" w:sz="0" w:space="0" w:color="auto"/>
            <w:left w:val="none" w:sz="0" w:space="0" w:color="auto"/>
            <w:bottom w:val="none" w:sz="0" w:space="0" w:color="auto"/>
            <w:right w:val="none" w:sz="0" w:space="0" w:color="auto"/>
          </w:divBdr>
        </w:div>
        <w:div w:id="1169441875">
          <w:marLeft w:val="0"/>
          <w:marRight w:val="0"/>
          <w:marTop w:val="0"/>
          <w:marBottom w:val="0"/>
          <w:divBdr>
            <w:top w:val="none" w:sz="0" w:space="0" w:color="auto"/>
            <w:left w:val="none" w:sz="0" w:space="0" w:color="auto"/>
            <w:bottom w:val="none" w:sz="0" w:space="0" w:color="auto"/>
            <w:right w:val="none" w:sz="0" w:space="0" w:color="auto"/>
          </w:divBdr>
        </w:div>
        <w:div w:id="1389263704">
          <w:marLeft w:val="0"/>
          <w:marRight w:val="0"/>
          <w:marTop w:val="0"/>
          <w:marBottom w:val="0"/>
          <w:divBdr>
            <w:top w:val="none" w:sz="0" w:space="0" w:color="auto"/>
            <w:left w:val="none" w:sz="0" w:space="0" w:color="auto"/>
            <w:bottom w:val="none" w:sz="0" w:space="0" w:color="auto"/>
            <w:right w:val="none" w:sz="0" w:space="0" w:color="auto"/>
          </w:divBdr>
        </w:div>
        <w:div w:id="2115398568">
          <w:marLeft w:val="0"/>
          <w:marRight w:val="0"/>
          <w:marTop w:val="0"/>
          <w:marBottom w:val="0"/>
          <w:divBdr>
            <w:top w:val="none" w:sz="0" w:space="0" w:color="auto"/>
            <w:left w:val="none" w:sz="0" w:space="0" w:color="auto"/>
            <w:bottom w:val="none" w:sz="0" w:space="0" w:color="auto"/>
            <w:right w:val="none" w:sz="0" w:space="0" w:color="auto"/>
          </w:divBdr>
        </w:div>
      </w:divsChild>
    </w:div>
    <w:div w:id="513424515">
      <w:bodyDiv w:val="1"/>
      <w:marLeft w:val="0"/>
      <w:marRight w:val="0"/>
      <w:marTop w:val="0"/>
      <w:marBottom w:val="0"/>
      <w:divBdr>
        <w:top w:val="none" w:sz="0" w:space="0" w:color="auto"/>
        <w:left w:val="none" w:sz="0" w:space="0" w:color="auto"/>
        <w:bottom w:val="none" w:sz="0" w:space="0" w:color="auto"/>
        <w:right w:val="none" w:sz="0" w:space="0" w:color="auto"/>
      </w:divBdr>
    </w:div>
    <w:div w:id="560365150">
      <w:bodyDiv w:val="1"/>
      <w:marLeft w:val="0"/>
      <w:marRight w:val="0"/>
      <w:marTop w:val="0"/>
      <w:marBottom w:val="0"/>
      <w:divBdr>
        <w:top w:val="none" w:sz="0" w:space="0" w:color="auto"/>
        <w:left w:val="none" w:sz="0" w:space="0" w:color="auto"/>
        <w:bottom w:val="none" w:sz="0" w:space="0" w:color="auto"/>
        <w:right w:val="none" w:sz="0" w:space="0" w:color="auto"/>
      </w:divBdr>
    </w:div>
    <w:div w:id="583957249">
      <w:bodyDiv w:val="1"/>
      <w:marLeft w:val="0"/>
      <w:marRight w:val="0"/>
      <w:marTop w:val="0"/>
      <w:marBottom w:val="0"/>
      <w:divBdr>
        <w:top w:val="none" w:sz="0" w:space="0" w:color="auto"/>
        <w:left w:val="none" w:sz="0" w:space="0" w:color="auto"/>
        <w:bottom w:val="none" w:sz="0" w:space="0" w:color="auto"/>
        <w:right w:val="none" w:sz="0" w:space="0" w:color="auto"/>
      </w:divBdr>
      <w:divsChild>
        <w:div w:id="379020164">
          <w:marLeft w:val="0"/>
          <w:marRight w:val="0"/>
          <w:marTop w:val="0"/>
          <w:marBottom w:val="0"/>
          <w:divBdr>
            <w:top w:val="none" w:sz="0" w:space="0" w:color="auto"/>
            <w:left w:val="none" w:sz="0" w:space="0" w:color="auto"/>
            <w:bottom w:val="none" w:sz="0" w:space="0" w:color="auto"/>
            <w:right w:val="none" w:sz="0" w:space="0" w:color="auto"/>
          </w:divBdr>
        </w:div>
        <w:div w:id="691149726">
          <w:marLeft w:val="0"/>
          <w:marRight w:val="0"/>
          <w:marTop w:val="0"/>
          <w:marBottom w:val="0"/>
          <w:divBdr>
            <w:top w:val="none" w:sz="0" w:space="0" w:color="auto"/>
            <w:left w:val="none" w:sz="0" w:space="0" w:color="auto"/>
            <w:bottom w:val="none" w:sz="0" w:space="0" w:color="auto"/>
            <w:right w:val="none" w:sz="0" w:space="0" w:color="auto"/>
          </w:divBdr>
        </w:div>
        <w:div w:id="1454710733">
          <w:marLeft w:val="0"/>
          <w:marRight w:val="0"/>
          <w:marTop w:val="0"/>
          <w:marBottom w:val="0"/>
          <w:divBdr>
            <w:top w:val="none" w:sz="0" w:space="0" w:color="auto"/>
            <w:left w:val="none" w:sz="0" w:space="0" w:color="auto"/>
            <w:bottom w:val="none" w:sz="0" w:space="0" w:color="auto"/>
            <w:right w:val="none" w:sz="0" w:space="0" w:color="auto"/>
          </w:divBdr>
        </w:div>
        <w:div w:id="1564558526">
          <w:marLeft w:val="0"/>
          <w:marRight w:val="0"/>
          <w:marTop w:val="0"/>
          <w:marBottom w:val="0"/>
          <w:divBdr>
            <w:top w:val="none" w:sz="0" w:space="0" w:color="auto"/>
            <w:left w:val="none" w:sz="0" w:space="0" w:color="auto"/>
            <w:bottom w:val="none" w:sz="0" w:space="0" w:color="auto"/>
            <w:right w:val="none" w:sz="0" w:space="0" w:color="auto"/>
          </w:divBdr>
        </w:div>
        <w:div w:id="2142378947">
          <w:marLeft w:val="0"/>
          <w:marRight w:val="0"/>
          <w:marTop w:val="0"/>
          <w:marBottom w:val="0"/>
          <w:divBdr>
            <w:top w:val="none" w:sz="0" w:space="0" w:color="auto"/>
            <w:left w:val="none" w:sz="0" w:space="0" w:color="auto"/>
            <w:bottom w:val="none" w:sz="0" w:space="0" w:color="auto"/>
            <w:right w:val="none" w:sz="0" w:space="0" w:color="auto"/>
          </w:divBdr>
        </w:div>
      </w:divsChild>
    </w:div>
    <w:div w:id="592200332">
      <w:bodyDiv w:val="1"/>
      <w:marLeft w:val="0"/>
      <w:marRight w:val="0"/>
      <w:marTop w:val="0"/>
      <w:marBottom w:val="0"/>
      <w:divBdr>
        <w:top w:val="none" w:sz="0" w:space="0" w:color="auto"/>
        <w:left w:val="none" w:sz="0" w:space="0" w:color="auto"/>
        <w:bottom w:val="none" w:sz="0" w:space="0" w:color="auto"/>
        <w:right w:val="none" w:sz="0" w:space="0" w:color="auto"/>
      </w:divBdr>
    </w:div>
    <w:div w:id="604582772">
      <w:bodyDiv w:val="1"/>
      <w:marLeft w:val="0"/>
      <w:marRight w:val="0"/>
      <w:marTop w:val="0"/>
      <w:marBottom w:val="0"/>
      <w:divBdr>
        <w:top w:val="none" w:sz="0" w:space="0" w:color="auto"/>
        <w:left w:val="none" w:sz="0" w:space="0" w:color="auto"/>
        <w:bottom w:val="none" w:sz="0" w:space="0" w:color="auto"/>
        <w:right w:val="none" w:sz="0" w:space="0" w:color="auto"/>
      </w:divBdr>
    </w:div>
    <w:div w:id="621617441">
      <w:bodyDiv w:val="1"/>
      <w:marLeft w:val="0"/>
      <w:marRight w:val="0"/>
      <w:marTop w:val="0"/>
      <w:marBottom w:val="0"/>
      <w:divBdr>
        <w:top w:val="none" w:sz="0" w:space="0" w:color="auto"/>
        <w:left w:val="none" w:sz="0" w:space="0" w:color="auto"/>
        <w:bottom w:val="none" w:sz="0" w:space="0" w:color="auto"/>
        <w:right w:val="none" w:sz="0" w:space="0" w:color="auto"/>
      </w:divBdr>
      <w:divsChild>
        <w:div w:id="277490875">
          <w:marLeft w:val="0"/>
          <w:marRight w:val="0"/>
          <w:marTop w:val="0"/>
          <w:marBottom w:val="0"/>
          <w:divBdr>
            <w:top w:val="none" w:sz="0" w:space="0" w:color="auto"/>
            <w:left w:val="none" w:sz="0" w:space="0" w:color="auto"/>
            <w:bottom w:val="none" w:sz="0" w:space="0" w:color="auto"/>
            <w:right w:val="none" w:sz="0" w:space="0" w:color="auto"/>
          </w:divBdr>
        </w:div>
        <w:div w:id="548497977">
          <w:marLeft w:val="0"/>
          <w:marRight w:val="0"/>
          <w:marTop w:val="0"/>
          <w:marBottom w:val="0"/>
          <w:divBdr>
            <w:top w:val="none" w:sz="0" w:space="0" w:color="auto"/>
            <w:left w:val="none" w:sz="0" w:space="0" w:color="auto"/>
            <w:bottom w:val="none" w:sz="0" w:space="0" w:color="auto"/>
            <w:right w:val="none" w:sz="0" w:space="0" w:color="auto"/>
          </w:divBdr>
        </w:div>
        <w:div w:id="1005592028">
          <w:marLeft w:val="0"/>
          <w:marRight w:val="0"/>
          <w:marTop w:val="0"/>
          <w:marBottom w:val="0"/>
          <w:divBdr>
            <w:top w:val="none" w:sz="0" w:space="0" w:color="auto"/>
            <w:left w:val="none" w:sz="0" w:space="0" w:color="auto"/>
            <w:bottom w:val="none" w:sz="0" w:space="0" w:color="auto"/>
            <w:right w:val="none" w:sz="0" w:space="0" w:color="auto"/>
          </w:divBdr>
        </w:div>
      </w:divsChild>
    </w:div>
    <w:div w:id="653027439">
      <w:bodyDiv w:val="1"/>
      <w:marLeft w:val="0"/>
      <w:marRight w:val="0"/>
      <w:marTop w:val="0"/>
      <w:marBottom w:val="0"/>
      <w:divBdr>
        <w:top w:val="none" w:sz="0" w:space="0" w:color="auto"/>
        <w:left w:val="none" w:sz="0" w:space="0" w:color="auto"/>
        <w:bottom w:val="none" w:sz="0" w:space="0" w:color="auto"/>
        <w:right w:val="none" w:sz="0" w:space="0" w:color="auto"/>
      </w:divBdr>
      <w:divsChild>
        <w:div w:id="226890205">
          <w:marLeft w:val="864"/>
          <w:marRight w:val="0"/>
          <w:marTop w:val="50"/>
          <w:marBottom w:val="0"/>
          <w:divBdr>
            <w:top w:val="none" w:sz="0" w:space="0" w:color="auto"/>
            <w:left w:val="none" w:sz="0" w:space="0" w:color="auto"/>
            <w:bottom w:val="none" w:sz="0" w:space="0" w:color="auto"/>
            <w:right w:val="none" w:sz="0" w:space="0" w:color="auto"/>
          </w:divBdr>
        </w:div>
        <w:div w:id="349334447">
          <w:marLeft w:val="864"/>
          <w:marRight w:val="0"/>
          <w:marTop w:val="50"/>
          <w:marBottom w:val="0"/>
          <w:divBdr>
            <w:top w:val="none" w:sz="0" w:space="0" w:color="auto"/>
            <w:left w:val="none" w:sz="0" w:space="0" w:color="auto"/>
            <w:bottom w:val="none" w:sz="0" w:space="0" w:color="auto"/>
            <w:right w:val="none" w:sz="0" w:space="0" w:color="auto"/>
          </w:divBdr>
        </w:div>
        <w:div w:id="635838990">
          <w:marLeft w:val="864"/>
          <w:marRight w:val="0"/>
          <w:marTop w:val="50"/>
          <w:marBottom w:val="0"/>
          <w:divBdr>
            <w:top w:val="none" w:sz="0" w:space="0" w:color="auto"/>
            <w:left w:val="none" w:sz="0" w:space="0" w:color="auto"/>
            <w:bottom w:val="none" w:sz="0" w:space="0" w:color="auto"/>
            <w:right w:val="none" w:sz="0" w:space="0" w:color="auto"/>
          </w:divBdr>
        </w:div>
        <w:div w:id="752355934">
          <w:marLeft w:val="864"/>
          <w:marRight w:val="0"/>
          <w:marTop w:val="50"/>
          <w:marBottom w:val="0"/>
          <w:divBdr>
            <w:top w:val="none" w:sz="0" w:space="0" w:color="auto"/>
            <w:left w:val="none" w:sz="0" w:space="0" w:color="auto"/>
            <w:bottom w:val="none" w:sz="0" w:space="0" w:color="auto"/>
            <w:right w:val="none" w:sz="0" w:space="0" w:color="auto"/>
          </w:divBdr>
        </w:div>
        <w:div w:id="788470058">
          <w:marLeft w:val="720"/>
          <w:marRight w:val="0"/>
          <w:marTop w:val="120"/>
          <w:marBottom w:val="0"/>
          <w:divBdr>
            <w:top w:val="none" w:sz="0" w:space="0" w:color="auto"/>
            <w:left w:val="none" w:sz="0" w:space="0" w:color="auto"/>
            <w:bottom w:val="none" w:sz="0" w:space="0" w:color="auto"/>
            <w:right w:val="none" w:sz="0" w:space="0" w:color="auto"/>
          </w:divBdr>
        </w:div>
        <w:div w:id="847333157">
          <w:marLeft w:val="720"/>
          <w:marRight w:val="0"/>
          <w:marTop w:val="120"/>
          <w:marBottom w:val="0"/>
          <w:divBdr>
            <w:top w:val="none" w:sz="0" w:space="0" w:color="auto"/>
            <w:left w:val="none" w:sz="0" w:space="0" w:color="auto"/>
            <w:bottom w:val="none" w:sz="0" w:space="0" w:color="auto"/>
            <w:right w:val="none" w:sz="0" w:space="0" w:color="auto"/>
          </w:divBdr>
        </w:div>
        <w:div w:id="1233739537">
          <w:marLeft w:val="864"/>
          <w:marRight w:val="0"/>
          <w:marTop w:val="50"/>
          <w:marBottom w:val="0"/>
          <w:divBdr>
            <w:top w:val="none" w:sz="0" w:space="0" w:color="auto"/>
            <w:left w:val="none" w:sz="0" w:space="0" w:color="auto"/>
            <w:bottom w:val="none" w:sz="0" w:space="0" w:color="auto"/>
            <w:right w:val="none" w:sz="0" w:space="0" w:color="auto"/>
          </w:divBdr>
        </w:div>
        <w:div w:id="1240556948">
          <w:marLeft w:val="418"/>
          <w:marRight w:val="0"/>
          <w:marTop w:val="50"/>
          <w:marBottom w:val="0"/>
          <w:divBdr>
            <w:top w:val="none" w:sz="0" w:space="0" w:color="auto"/>
            <w:left w:val="none" w:sz="0" w:space="0" w:color="auto"/>
            <w:bottom w:val="none" w:sz="0" w:space="0" w:color="auto"/>
            <w:right w:val="none" w:sz="0" w:space="0" w:color="auto"/>
          </w:divBdr>
        </w:div>
        <w:div w:id="2070108811">
          <w:marLeft w:val="864"/>
          <w:marRight w:val="0"/>
          <w:marTop w:val="50"/>
          <w:marBottom w:val="0"/>
          <w:divBdr>
            <w:top w:val="none" w:sz="0" w:space="0" w:color="auto"/>
            <w:left w:val="none" w:sz="0" w:space="0" w:color="auto"/>
            <w:bottom w:val="none" w:sz="0" w:space="0" w:color="auto"/>
            <w:right w:val="none" w:sz="0" w:space="0" w:color="auto"/>
          </w:divBdr>
        </w:div>
        <w:div w:id="2096894147">
          <w:marLeft w:val="720"/>
          <w:marRight w:val="0"/>
          <w:marTop w:val="120"/>
          <w:marBottom w:val="0"/>
          <w:divBdr>
            <w:top w:val="none" w:sz="0" w:space="0" w:color="auto"/>
            <w:left w:val="none" w:sz="0" w:space="0" w:color="auto"/>
            <w:bottom w:val="none" w:sz="0" w:space="0" w:color="auto"/>
            <w:right w:val="none" w:sz="0" w:space="0" w:color="auto"/>
          </w:divBdr>
        </w:div>
      </w:divsChild>
    </w:div>
    <w:div w:id="666713457">
      <w:bodyDiv w:val="1"/>
      <w:marLeft w:val="0"/>
      <w:marRight w:val="0"/>
      <w:marTop w:val="0"/>
      <w:marBottom w:val="0"/>
      <w:divBdr>
        <w:top w:val="none" w:sz="0" w:space="0" w:color="auto"/>
        <w:left w:val="none" w:sz="0" w:space="0" w:color="auto"/>
        <w:bottom w:val="none" w:sz="0" w:space="0" w:color="auto"/>
        <w:right w:val="none" w:sz="0" w:space="0" w:color="auto"/>
      </w:divBdr>
      <w:divsChild>
        <w:div w:id="474836036">
          <w:marLeft w:val="0"/>
          <w:marRight w:val="0"/>
          <w:marTop w:val="0"/>
          <w:marBottom w:val="0"/>
          <w:divBdr>
            <w:top w:val="none" w:sz="0" w:space="0" w:color="auto"/>
            <w:left w:val="none" w:sz="0" w:space="0" w:color="auto"/>
            <w:bottom w:val="none" w:sz="0" w:space="0" w:color="auto"/>
            <w:right w:val="none" w:sz="0" w:space="0" w:color="auto"/>
          </w:divBdr>
        </w:div>
        <w:div w:id="600987291">
          <w:marLeft w:val="0"/>
          <w:marRight w:val="0"/>
          <w:marTop w:val="0"/>
          <w:marBottom w:val="0"/>
          <w:divBdr>
            <w:top w:val="none" w:sz="0" w:space="0" w:color="auto"/>
            <w:left w:val="none" w:sz="0" w:space="0" w:color="auto"/>
            <w:bottom w:val="none" w:sz="0" w:space="0" w:color="auto"/>
            <w:right w:val="none" w:sz="0" w:space="0" w:color="auto"/>
          </w:divBdr>
        </w:div>
        <w:div w:id="1101101073">
          <w:marLeft w:val="0"/>
          <w:marRight w:val="0"/>
          <w:marTop w:val="0"/>
          <w:marBottom w:val="0"/>
          <w:divBdr>
            <w:top w:val="none" w:sz="0" w:space="0" w:color="auto"/>
            <w:left w:val="none" w:sz="0" w:space="0" w:color="auto"/>
            <w:bottom w:val="none" w:sz="0" w:space="0" w:color="auto"/>
            <w:right w:val="none" w:sz="0" w:space="0" w:color="auto"/>
          </w:divBdr>
        </w:div>
        <w:div w:id="1190340697">
          <w:marLeft w:val="0"/>
          <w:marRight w:val="0"/>
          <w:marTop w:val="0"/>
          <w:marBottom w:val="0"/>
          <w:divBdr>
            <w:top w:val="none" w:sz="0" w:space="0" w:color="auto"/>
            <w:left w:val="none" w:sz="0" w:space="0" w:color="auto"/>
            <w:bottom w:val="none" w:sz="0" w:space="0" w:color="auto"/>
            <w:right w:val="none" w:sz="0" w:space="0" w:color="auto"/>
          </w:divBdr>
        </w:div>
        <w:div w:id="1833717793">
          <w:marLeft w:val="0"/>
          <w:marRight w:val="0"/>
          <w:marTop w:val="0"/>
          <w:marBottom w:val="0"/>
          <w:divBdr>
            <w:top w:val="none" w:sz="0" w:space="0" w:color="auto"/>
            <w:left w:val="none" w:sz="0" w:space="0" w:color="auto"/>
            <w:bottom w:val="none" w:sz="0" w:space="0" w:color="auto"/>
            <w:right w:val="none" w:sz="0" w:space="0" w:color="auto"/>
          </w:divBdr>
        </w:div>
      </w:divsChild>
    </w:div>
    <w:div w:id="669144392">
      <w:bodyDiv w:val="1"/>
      <w:marLeft w:val="0"/>
      <w:marRight w:val="0"/>
      <w:marTop w:val="0"/>
      <w:marBottom w:val="0"/>
      <w:divBdr>
        <w:top w:val="none" w:sz="0" w:space="0" w:color="auto"/>
        <w:left w:val="none" w:sz="0" w:space="0" w:color="auto"/>
        <w:bottom w:val="none" w:sz="0" w:space="0" w:color="auto"/>
        <w:right w:val="none" w:sz="0" w:space="0" w:color="auto"/>
      </w:divBdr>
      <w:divsChild>
        <w:div w:id="31804551">
          <w:marLeft w:val="0"/>
          <w:marRight w:val="0"/>
          <w:marTop w:val="0"/>
          <w:marBottom w:val="0"/>
          <w:divBdr>
            <w:top w:val="none" w:sz="0" w:space="0" w:color="auto"/>
            <w:left w:val="none" w:sz="0" w:space="0" w:color="auto"/>
            <w:bottom w:val="none" w:sz="0" w:space="0" w:color="auto"/>
            <w:right w:val="none" w:sz="0" w:space="0" w:color="auto"/>
          </w:divBdr>
        </w:div>
        <w:div w:id="258804835">
          <w:marLeft w:val="0"/>
          <w:marRight w:val="0"/>
          <w:marTop w:val="0"/>
          <w:marBottom w:val="0"/>
          <w:divBdr>
            <w:top w:val="none" w:sz="0" w:space="0" w:color="auto"/>
            <w:left w:val="none" w:sz="0" w:space="0" w:color="auto"/>
            <w:bottom w:val="none" w:sz="0" w:space="0" w:color="auto"/>
            <w:right w:val="none" w:sz="0" w:space="0" w:color="auto"/>
          </w:divBdr>
        </w:div>
        <w:div w:id="460418818">
          <w:marLeft w:val="0"/>
          <w:marRight w:val="0"/>
          <w:marTop w:val="0"/>
          <w:marBottom w:val="0"/>
          <w:divBdr>
            <w:top w:val="none" w:sz="0" w:space="0" w:color="auto"/>
            <w:left w:val="none" w:sz="0" w:space="0" w:color="auto"/>
            <w:bottom w:val="none" w:sz="0" w:space="0" w:color="auto"/>
            <w:right w:val="none" w:sz="0" w:space="0" w:color="auto"/>
          </w:divBdr>
        </w:div>
        <w:div w:id="677923319">
          <w:marLeft w:val="0"/>
          <w:marRight w:val="0"/>
          <w:marTop w:val="0"/>
          <w:marBottom w:val="0"/>
          <w:divBdr>
            <w:top w:val="none" w:sz="0" w:space="0" w:color="auto"/>
            <w:left w:val="none" w:sz="0" w:space="0" w:color="auto"/>
            <w:bottom w:val="none" w:sz="0" w:space="0" w:color="auto"/>
            <w:right w:val="none" w:sz="0" w:space="0" w:color="auto"/>
          </w:divBdr>
        </w:div>
        <w:div w:id="876896481">
          <w:marLeft w:val="0"/>
          <w:marRight w:val="0"/>
          <w:marTop w:val="0"/>
          <w:marBottom w:val="0"/>
          <w:divBdr>
            <w:top w:val="none" w:sz="0" w:space="0" w:color="auto"/>
            <w:left w:val="none" w:sz="0" w:space="0" w:color="auto"/>
            <w:bottom w:val="none" w:sz="0" w:space="0" w:color="auto"/>
            <w:right w:val="none" w:sz="0" w:space="0" w:color="auto"/>
          </w:divBdr>
        </w:div>
        <w:div w:id="1120025703">
          <w:marLeft w:val="0"/>
          <w:marRight w:val="0"/>
          <w:marTop w:val="0"/>
          <w:marBottom w:val="0"/>
          <w:divBdr>
            <w:top w:val="none" w:sz="0" w:space="0" w:color="auto"/>
            <w:left w:val="none" w:sz="0" w:space="0" w:color="auto"/>
            <w:bottom w:val="none" w:sz="0" w:space="0" w:color="auto"/>
            <w:right w:val="none" w:sz="0" w:space="0" w:color="auto"/>
          </w:divBdr>
        </w:div>
        <w:div w:id="1143234033">
          <w:marLeft w:val="0"/>
          <w:marRight w:val="0"/>
          <w:marTop w:val="0"/>
          <w:marBottom w:val="0"/>
          <w:divBdr>
            <w:top w:val="none" w:sz="0" w:space="0" w:color="auto"/>
            <w:left w:val="none" w:sz="0" w:space="0" w:color="auto"/>
            <w:bottom w:val="none" w:sz="0" w:space="0" w:color="auto"/>
            <w:right w:val="none" w:sz="0" w:space="0" w:color="auto"/>
          </w:divBdr>
        </w:div>
        <w:div w:id="1492984628">
          <w:marLeft w:val="0"/>
          <w:marRight w:val="0"/>
          <w:marTop w:val="0"/>
          <w:marBottom w:val="0"/>
          <w:divBdr>
            <w:top w:val="none" w:sz="0" w:space="0" w:color="auto"/>
            <w:left w:val="none" w:sz="0" w:space="0" w:color="auto"/>
            <w:bottom w:val="none" w:sz="0" w:space="0" w:color="auto"/>
            <w:right w:val="none" w:sz="0" w:space="0" w:color="auto"/>
          </w:divBdr>
        </w:div>
        <w:div w:id="1539049350">
          <w:marLeft w:val="0"/>
          <w:marRight w:val="0"/>
          <w:marTop w:val="0"/>
          <w:marBottom w:val="0"/>
          <w:divBdr>
            <w:top w:val="none" w:sz="0" w:space="0" w:color="auto"/>
            <w:left w:val="none" w:sz="0" w:space="0" w:color="auto"/>
            <w:bottom w:val="none" w:sz="0" w:space="0" w:color="auto"/>
            <w:right w:val="none" w:sz="0" w:space="0" w:color="auto"/>
          </w:divBdr>
        </w:div>
        <w:div w:id="1677073648">
          <w:marLeft w:val="0"/>
          <w:marRight w:val="0"/>
          <w:marTop w:val="0"/>
          <w:marBottom w:val="0"/>
          <w:divBdr>
            <w:top w:val="none" w:sz="0" w:space="0" w:color="auto"/>
            <w:left w:val="none" w:sz="0" w:space="0" w:color="auto"/>
            <w:bottom w:val="none" w:sz="0" w:space="0" w:color="auto"/>
            <w:right w:val="none" w:sz="0" w:space="0" w:color="auto"/>
          </w:divBdr>
        </w:div>
        <w:div w:id="1988775158">
          <w:marLeft w:val="0"/>
          <w:marRight w:val="0"/>
          <w:marTop w:val="0"/>
          <w:marBottom w:val="0"/>
          <w:divBdr>
            <w:top w:val="none" w:sz="0" w:space="0" w:color="auto"/>
            <w:left w:val="none" w:sz="0" w:space="0" w:color="auto"/>
            <w:bottom w:val="none" w:sz="0" w:space="0" w:color="auto"/>
            <w:right w:val="none" w:sz="0" w:space="0" w:color="auto"/>
          </w:divBdr>
        </w:div>
      </w:divsChild>
    </w:div>
    <w:div w:id="679703757">
      <w:bodyDiv w:val="1"/>
      <w:marLeft w:val="0"/>
      <w:marRight w:val="0"/>
      <w:marTop w:val="0"/>
      <w:marBottom w:val="0"/>
      <w:divBdr>
        <w:top w:val="none" w:sz="0" w:space="0" w:color="auto"/>
        <w:left w:val="none" w:sz="0" w:space="0" w:color="auto"/>
        <w:bottom w:val="none" w:sz="0" w:space="0" w:color="auto"/>
        <w:right w:val="none" w:sz="0" w:space="0" w:color="auto"/>
      </w:divBdr>
      <w:divsChild>
        <w:div w:id="302269765">
          <w:marLeft w:val="0"/>
          <w:marRight w:val="0"/>
          <w:marTop w:val="0"/>
          <w:marBottom w:val="0"/>
          <w:divBdr>
            <w:top w:val="none" w:sz="0" w:space="0" w:color="auto"/>
            <w:left w:val="none" w:sz="0" w:space="0" w:color="auto"/>
            <w:bottom w:val="none" w:sz="0" w:space="0" w:color="auto"/>
            <w:right w:val="none" w:sz="0" w:space="0" w:color="auto"/>
          </w:divBdr>
        </w:div>
        <w:div w:id="793789496">
          <w:marLeft w:val="0"/>
          <w:marRight w:val="0"/>
          <w:marTop w:val="0"/>
          <w:marBottom w:val="0"/>
          <w:divBdr>
            <w:top w:val="none" w:sz="0" w:space="0" w:color="auto"/>
            <w:left w:val="none" w:sz="0" w:space="0" w:color="auto"/>
            <w:bottom w:val="none" w:sz="0" w:space="0" w:color="auto"/>
            <w:right w:val="none" w:sz="0" w:space="0" w:color="auto"/>
          </w:divBdr>
        </w:div>
        <w:div w:id="1949317245">
          <w:marLeft w:val="0"/>
          <w:marRight w:val="0"/>
          <w:marTop w:val="0"/>
          <w:marBottom w:val="0"/>
          <w:divBdr>
            <w:top w:val="none" w:sz="0" w:space="0" w:color="auto"/>
            <w:left w:val="none" w:sz="0" w:space="0" w:color="auto"/>
            <w:bottom w:val="none" w:sz="0" w:space="0" w:color="auto"/>
            <w:right w:val="none" w:sz="0" w:space="0" w:color="auto"/>
          </w:divBdr>
        </w:div>
        <w:div w:id="2046904104">
          <w:marLeft w:val="0"/>
          <w:marRight w:val="0"/>
          <w:marTop w:val="0"/>
          <w:marBottom w:val="0"/>
          <w:divBdr>
            <w:top w:val="none" w:sz="0" w:space="0" w:color="auto"/>
            <w:left w:val="none" w:sz="0" w:space="0" w:color="auto"/>
            <w:bottom w:val="none" w:sz="0" w:space="0" w:color="auto"/>
            <w:right w:val="none" w:sz="0" w:space="0" w:color="auto"/>
          </w:divBdr>
        </w:div>
      </w:divsChild>
    </w:div>
    <w:div w:id="695353439">
      <w:bodyDiv w:val="1"/>
      <w:marLeft w:val="0"/>
      <w:marRight w:val="0"/>
      <w:marTop w:val="0"/>
      <w:marBottom w:val="0"/>
      <w:divBdr>
        <w:top w:val="none" w:sz="0" w:space="0" w:color="auto"/>
        <w:left w:val="none" w:sz="0" w:space="0" w:color="auto"/>
        <w:bottom w:val="none" w:sz="0" w:space="0" w:color="auto"/>
        <w:right w:val="none" w:sz="0" w:space="0" w:color="auto"/>
      </w:divBdr>
    </w:div>
    <w:div w:id="699623338">
      <w:bodyDiv w:val="1"/>
      <w:marLeft w:val="0"/>
      <w:marRight w:val="0"/>
      <w:marTop w:val="0"/>
      <w:marBottom w:val="0"/>
      <w:divBdr>
        <w:top w:val="none" w:sz="0" w:space="0" w:color="auto"/>
        <w:left w:val="none" w:sz="0" w:space="0" w:color="auto"/>
        <w:bottom w:val="none" w:sz="0" w:space="0" w:color="auto"/>
        <w:right w:val="none" w:sz="0" w:space="0" w:color="auto"/>
      </w:divBdr>
    </w:div>
    <w:div w:id="710615367">
      <w:bodyDiv w:val="1"/>
      <w:marLeft w:val="0"/>
      <w:marRight w:val="0"/>
      <w:marTop w:val="0"/>
      <w:marBottom w:val="0"/>
      <w:divBdr>
        <w:top w:val="none" w:sz="0" w:space="0" w:color="auto"/>
        <w:left w:val="none" w:sz="0" w:space="0" w:color="auto"/>
        <w:bottom w:val="none" w:sz="0" w:space="0" w:color="auto"/>
        <w:right w:val="none" w:sz="0" w:space="0" w:color="auto"/>
      </w:divBdr>
    </w:div>
    <w:div w:id="717436273">
      <w:bodyDiv w:val="1"/>
      <w:marLeft w:val="0"/>
      <w:marRight w:val="0"/>
      <w:marTop w:val="0"/>
      <w:marBottom w:val="0"/>
      <w:divBdr>
        <w:top w:val="none" w:sz="0" w:space="0" w:color="auto"/>
        <w:left w:val="none" w:sz="0" w:space="0" w:color="auto"/>
        <w:bottom w:val="none" w:sz="0" w:space="0" w:color="auto"/>
        <w:right w:val="none" w:sz="0" w:space="0" w:color="auto"/>
      </w:divBdr>
      <w:divsChild>
        <w:div w:id="167256094">
          <w:marLeft w:val="0"/>
          <w:marRight w:val="0"/>
          <w:marTop w:val="0"/>
          <w:marBottom w:val="0"/>
          <w:divBdr>
            <w:top w:val="none" w:sz="0" w:space="0" w:color="auto"/>
            <w:left w:val="none" w:sz="0" w:space="0" w:color="auto"/>
            <w:bottom w:val="none" w:sz="0" w:space="0" w:color="auto"/>
            <w:right w:val="none" w:sz="0" w:space="0" w:color="auto"/>
          </w:divBdr>
        </w:div>
        <w:div w:id="517697365">
          <w:marLeft w:val="0"/>
          <w:marRight w:val="0"/>
          <w:marTop w:val="0"/>
          <w:marBottom w:val="0"/>
          <w:divBdr>
            <w:top w:val="none" w:sz="0" w:space="0" w:color="auto"/>
            <w:left w:val="none" w:sz="0" w:space="0" w:color="auto"/>
            <w:bottom w:val="none" w:sz="0" w:space="0" w:color="auto"/>
            <w:right w:val="none" w:sz="0" w:space="0" w:color="auto"/>
          </w:divBdr>
        </w:div>
        <w:div w:id="526410139">
          <w:marLeft w:val="0"/>
          <w:marRight w:val="0"/>
          <w:marTop w:val="0"/>
          <w:marBottom w:val="0"/>
          <w:divBdr>
            <w:top w:val="none" w:sz="0" w:space="0" w:color="auto"/>
            <w:left w:val="none" w:sz="0" w:space="0" w:color="auto"/>
            <w:bottom w:val="none" w:sz="0" w:space="0" w:color="auto"/>
            <w:right w:val="none" w:sz="0" w:space="0" w:color="auto"/>
          </w:divBdr>
        </w:div>
        <w:div w:id="952903308">
          <w:marLeft w:val="0"/>
          <w:marRight w:val="0"/>
          <w:marTop w:val="0"/>
          <w:marBottom w:val="0"/>
          <w:divBdr>
            <w:top w:val="none" w:sz="0" w:space="0" w:color="auto"/>
            <w:left w:val="none" w:sz="0" w:space="0" w:color="auto"/>
            <w:bottom w:val="none" w:sz="0" w:space="0" w:color="auto"/>
            <w:right w:val="none" w:sz="0" w:space="0" w:color="auto"/>
          </w:divBdr>
        </w:div>
        <w:div w:id="1726175619">
          <w:marLeft w:val="0"/>
          <w:marRight w:val="0"/>
          <w:marTop w:val="0"/>
          <w:marBottom w:val="0"/>
          <w:divBdr>
            <w:top w:val="none" w:sz="0" w:space="0" w:color="auto"/>
            <w:left w:val="none" w:sz="0" w:space="0" w:color="auto"/>
            <w:bottom w:val="none" w:sz="0" w:space="0" w:color="auto"/>
            <w:right w:val="none" w:sz="0" w:space="0" w:color="auto"/>
          </w:divBdr>
        </w:div>
      </w:divsChild>
    </w:div>
    <w:div w:id="717782451">
      <w:bodyDiv w:val="1"/>
      <w:marLeft w:val="0"/>
      <w:marRight w:val="0"/>
      <w:marTop w:val="0"/>
      <w:marBottom w:val="0"/>
      <w:divBdr>
        <w:top w:val="none" w:sz="0" w:space="0" w:color="auto"/>
        <w:left w:val="none" w:sz="0" w:space="0" w:color="auto"/>
        <w:bottom w:val="none" w:sz="0" w:space="0" w:color="auto"/>
        <w:right w:val="none" w:sz="0" w:space="0" w:color="auto"/>
      </w:divBdr>
    </w:div>
    <w:div w:id="747002586">
      <w:bodyDiv w:val="1"/>
      <w:marLeft w:val="0"/>
      <w:marRight w:val="0"/>
      <w:marTop w:val="0"/>
      <w:marBottom w:val="0"/>
      <w:divBdr>
        <w:top w:val="none" w:sz="0" w:space="0" w:color="auto"/>
        <w:left w:val="none" w:sz="0" w:space="0" w:color="auto"/>
        <w:bottom w:val="none" w:sz="0" w:space="0" w:color="auto"/>
        <w:right w:val="none" w:sz="0" w:space="0" w:color="auto"/>
      </w:divBdr>
    </w:div>
    <w:div w:id="760837365">
      <w:bodyDiv w:val="1"/>
      <w:marLeft w:val="0"/>
      <w:marRight w:val="0"/>
      <w:marTop w:val="0"/>
      <w:marBottom w:val="0"/>
      <w:divBdr>
        <w:top w:val="none" w:sz="0" w:space="0" w:color="auto"/>
        <w:left w:val="none" w:sz="0" w:space="0" w:color="auto"/>
        <w:bottom w:val="none" w:sz="0" w:space="0" w:color="auto"/>
        <w:right w:val="none" w:sz="0" w:space="0" w:color="auto"/>
      </w:divBdr>
    </w:div>
    <w:div w:id="768551562">
      <w:bodyDiv w:val="1"/>
      <w:marLeft w:val="0"/>
      <w:marRight w:val="0"/>
      <w:marTop w:val="0"/>
      <w:marBottom w:val="0"/>
      <w:divBdr>
        <w:top w:val="none" w:sz="0" w:space="0" w:color="auto"/>
        <w:left w:val="none" w:sz="0" w:space="0" w:color="auto"/>
        <w:bottom w:val="none" w:sz="0" w:space="0" w:color="auto"/>
        <w:right w:val="none" w:sz="0" w:space="0" w:color="auto"/>
      </w:divBdr>
      <w:divsChild>
        <w:div w:id="1496342696">
          <w:marLeft w:val="0"/>
          <w:marRight w:val="0"/>
          <w:marTop w:val="0"/>
          <w:marBottom w:val="0"/>
          <w:divBdr>
            <w:top w:val="none" w:sz="0" w:space="0" w:color="auto"/>
            <w:left w:val="none" w:sz="0" w:space="0" w:color="auto"/>
            <w:bottom w:val="none" w:sz="0" w:space="0" w:color="auto"/>
            <w:right w:val="none" w:sz="0" w:space="0" w:color="auto"/>
          </w:divBdr>
        </w:div>
        <w:div w:id="1818722102">
          <w:marLeft w:val="0"/>
          <w:marRight w:val="0"/>
          <w:marTop w:val="0"/>
          <w:marBottom w:val="0"/>
          <w:divBdr>
            <w:top w:val="none" w:sz="0" w:space="0" w:color="auto"/>
            <w:left w:val="none" w:sz="0" w:space="0" w:color="auto"/>
            <w:bottom w:val="none" w:sz="0" w:space="0" w:color="auto"/>
            <w:right w:val="none" w:sz="0" w:space="0" w:color="auto"/>
          </w:divBdr>
        </w:div>
      </w:divsChild>
    </w:div>
    <w:div w:id="773019223">
      <w:bodyDiv w:val="1"/>
      <w:marLeft w:val="0"/>
      <w:marRight w:val="0"/>
      <w:marTop w:val="0"/>
      <w:marBottom w:val="0"/>
      <w:divBdr>
        <w:top w:val="none" w:sz="0" w:space="0" w:color="auto"/>
        <w:left w:val="none" w:sz="0" w:space="0" w:color="auto"/>
        <w:bottom w:val="none" w:sz="0" w:space="0" w:color="auto"/>
        <w:right w:val="none" w:sz="0" w:space="0" w:color="auto"/>
      </w:divBdr>
    </w:div>
    <w:div w:id="780075122">
      <w:bodyDiv w:val="1"/>
      <w:marLeft w:val="0"/>
      <w:marRight w:val="0"/>
      <w:marTop w:val="0"/>
      <w:marBottom w:val="0"/>
      <w:divBdr>
        <w:top w:val="none" w:sz="0" w:space="0" w:color="auto"/>
        <w:left w:val="none" w:sz="0" w:space="0" w:color="auto"/>
        <w:bottom w:val="none" w:sz="0" w:space="0" w:color="auto"/>
        <w:right w:val="none" w:sz="0" w:space="0" w:color="auto"/>
      </w:divBdr>
      <w:divsChild>
        <w:div w:id="464466123">
          <w:marLeft w:val="0"/>
          <w:marRight w:val="0"/>
          <w:marTop w:val="0"/>
          <w:marBottom w:val="0"/>
          <w:divBdr>
            <w:top w:val="none" w:sz="0" w:space="0" w:color="auto"/>
            <w:left w:val="none" w:sz="0" w:space="0" w:color="auto"/>
            <w:bottom w:val="none" w:sz="0" w:space="0" w:color="auto"/>
            <w:right w:val="none" w:sz="0" w:space="0" w:color="auto"/>
          </w:divBdr>
        </w:div>
        <w:div w:id="1174339952">
          <w:marLeft w:val="0"/>
          <w:marRight w:val="0"/>
          <w:marTop w:val="0"/>
          <w:marBottom w:val="0"/>
          <w:divBdr>
            <w:top w:val="none" w:sz="0" w:space="0" w:color="auto"/>
            <w:left w:val="none" w:sz="0" w:space="0" w:color="auto"/>
            <w:bottom w:val="none" w:sz="0" w:space="0" w:color="auto"/>
            <w:right w:val="none" w:sz="0" w:space="0" w:color="auto"/>
          </w:divBdr>
        </w:div>
        <w:div w:id="1270506793">
          <w:marLeft w:val="0"/>
          <w:marRight w:val="0"/>
          <w:marTop w:val="0"/>
          <w:marBottom w:val="0"/>
          <w:divBdr>
            <w:top w:val="none" w:sz="0" w:space="0" w:color="auto"/>
            <w:left w:val="none" w:sz="0" w:space="0" w:color="auto"/>
            <w:bottom w:val="none" w:sz="0" w:space="0" w:color="auto"/>
            <w:right w:val="none" w:sz="0" w:space="0" w:color="auto"/>
          </w:divBdr>
        </w:div>
        <w:div w:id="1740907010">
          <w:marLeft w:val="0"/>
          <w:marRight w:val="0"/>
          <w:marTop w:val="0"/>
          <w:marBottom w:val="0"/>
          <w:divBdr>
            <w:top w:val="none" w:sz="0" w:space="0" w:color="auto"/>
            <w:left w:val="none" w:sz="0" w:space="0" w:color="auto"/>
            <w:bottom w:val="none" w:sz="0" w:space="0" w:color="auto"/>
            <w:right w:val="none" w:sz="0" w:space="0" w:color="auto"/>
          </w:divBdr>
        </w:div>
        <w:div w:id="1923105048">
          <w:marLeft w:val="0"/>
          <w:marRight w:val="0"/>
          <w:marTop w:val="0"/>
          <w:marBottom w:val="0"/>
          <w:divBdr>
            <w:top w:val="none" w:sz="0" w:space="0" w:color="auto"/>
            <w:left w:val="none" w:sz="0" w:space="0" w:color="auto"/>
            <w:bottom w:val="none" w:sz="0" w:space="0" w:color="auto"/>
            <w:right w:val="none" w:sz="0" w:space="0" w:color="auto"/>
          </w:divBdr>
        </w:div>
      </w:divsChild>
    </w:div>
    <w:div w:id="782068351">
      <w:bodyDiv w:val="1"/>
      <w:marLeft w:val="0"/>
      <w:marRight w:val="0"/>
      <w:marTop w:val="0"/>
      <w:marBottom w:val="0"/>
      <w:divBdr>
        <w:top w:val="none" w:sz="0" w:space="0" w:color="auto"/>
        <w:left w:val="none" w:sz="0" w:space="0" w:color="auto"/>
        <w:bottom w:val="none" w:sz="0" w:space="0" w:color="auto"/>
        <w:right w:val="none" w:sz="0" w:space="0" w:color="auto"/>
      </w:divBdr>
    </w:div>
    <w:div w:id="797186608">
      <w:bodyDiv w:val="1"/>
      <w:marLeft w:val="0"/>
      <w:marRight w:val="0"/>
      <w:marTop w:val="0"/>
      <w:marBottom w:val="0"/>
      <w:divBdr>
        <w:top w:val="none" w:sz="0" w:space="0" w:color="auto"/>
        <w:left w:val="none" w:sz="0" w:space="0" w:color="auto"/>
        <w:bottom w:val="none" w:sz="0" w:space="0" w:color="auto"/>
        <w:right w:val="none" w:sz="0" w:space="0" w:color="auto"/>
      </w:divBdr>
    </w:div>
    <w:div w:id="798375918">
      <w:bodyDiv w:val="1"/>
      <w:marLeft w:val="0"/>
      <w:marRight w:val="0"/>
      <w:marTop w:val="0"/>
      <w:marBottom w:val="0"/>
      <w:divBdr>
        <w:top w:val="none" w:sz="0" w:space="0" w:color="auto"/>
        <w:left w:val="none" w:sz="0" w:space="0" w:color="auto"/>
        <w:bottom w:val="none" w:sz="0" w:space="0" w:color="auto"/>
        <w:right w:val="none" w:sz="0" w:space="0" w:color="auto"/>
      </w:divBdr>
    </w:div>
    <w:div w:id="805129151">
      <w:bodyDiv w:val="1"/>
      <w:marLeft w:val="0"/>
      <w:marRight w:val="0"/>
      <w:marTop w:val="0"/>
      <w:marBottom w:val="0"/>
      <w:divBdr>
        <w:top w:val="none" w:sz="0" w:space="0" w:color="auto"/>
        <w:left w:val="none" w:sz="0" w:space="0" w:color="auto"/>
        <w:bottom w:val="none" w:sz="0" w:space="0" w:color="auto"/>
        <w:right w:val="none" w:sz="0" w:space="0" w:color="auto"/>
      </w:divBdr>
      <w:divsChild>
        <w:div w:id="145367616">
          <w:marLeft w:val="0"/>
          <w:marRight w:val="0"/>
          <w:marTop w:val="0"/>
          <w:marBottom w:val="0"/>
          <w:divBdr>
            <w:top w:val="none" w:sz="0" w:space="0" w:color="auto"/>
            <w:left w:val="none" w:sz="0" w:space="0" w:color="auto"/>
            <w:bottom w:val="none" w:sz="0" w:space="0" w:color="auto"/>
            <w:right w:val="none" w:sz="0" w:space="0" w:color="auto"/>
          </w:divBdr>
        </w:div>
        <w:div w:id="252587716">
          <w:marLeft w:val="0"/>
          <w:marRight w:val="0"/>
          <w:marTop w:val="0"/>
          <w:marBottom w:val="0"/>
          <w:divBdr>
            <w:top w:val="none" w:sz="0" w:space="0" w:color="auto"/>
            <w:left w:val="none" w:sz="0" w:space="0" w:color="auto"/>
            <w:bottom w:val="none" w:sz="0" w:space="0" w:color="auto"/>
            <w:right w:val="none" w:sz="0" w:space="0" w:color="auto"/>
          </w:divBdr>
        </w:div>
        <w:div w:id="666789199">
          <w:marLeft w:val="0"/>
          <w:marRight w:val="0"/>
          <w:marTop w:val="0"/>
          <w:marBottom w:val="0"/>
          <w:divBdr>
            <w:top w:val="none" w:sz="0" w:space="0" w:color="auto"/>
            <w:left w:val="none" w:sz="0" w:space="0" w:color="auto"/>
            <w:bottom w:val="none" w:sz="0" w:space="0" w:color="auto"/>
            <w:right w:val="none" w:sz="0" w:space="0" w:color="auto"/>
          </w:divBdr>
        </w:div>
        <w:div w:id="772824058">
          <w:marLeft w:val="0"/>
          <w:marRight w:val="0"/>
          <w:marTop w:val="0"/>
          <w:marBottom w:val="0"/>
          <w:divBdr>
            <w:top w:val="none" w:sz="0" w:space="0" w:color="auto"/>
            <w:left w:val="none" w:sz="0" w:space="0" w:color="auto"/>
            <w:bottom w:val="none" w:sz="0" w:space="0" w:color="auto"/>
            <w:right w:val="none" w:sz="0" w:space="0" w:color="auto"/>
          </w:divBdr>
        </w:div>
        <w:div w:id="858084159">
          <w:marLeft w:val="0"/>
          <w:marRight w:val="0"/>
          <w:marTop w:val="0"/>
          <w:marBottom w:val="0"/>
          <w:divBdr>
            <w:top w:val="none" w:sz="0" w:space="0" w:color="auto"/>
            <w:left w:val="none" w:sz="0" w:space="0" w:color="auto"/>
            <w:bottom w:val="none" w:sz="0" w:space="0" w:color="auto"/>
            <w:right w:val="none" w:sz="0" w:space="0" w:color="auto"/>
          </w:divBdr>
        </w:div>
        <w:div w:id="1440490165">
          <w:marLeft w:val="0"/>
          <w:marRight w:val="0"/>
          <w:marTop w:val="0"/>
          <w:marBottom w:val="0"/>
          <w:divBdr>
            <w:top w:val="none" w:sz="0" w:space="0" w:color="auto"/>
            <w:left w:val="none" w:sz="0" w:space="0" w:color="auto"/>
            <w:bottom w:val="none" w:sz="0" w:space="0" w:color="auto"/>
            <w:right w:val="none" w:sz="0" w:space="0" w:color="auto"/>
          </w:divBdr>
        </w:div>
      </w:divsChild>
    </w:div>
    <w:div w:id="834685316">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
    <w:div w:id="856575163">
      <w:bodyDiv w:val="1"/>
      <w:marLeft w:val="0"/>
      <w:marRight w:val="0"/>
      <w:marTop w:val="0"/>
      <w:marBottom w:val="0"/>
      <w:divBdr>
        <w:top w:val="none" w:sz="0" w:space="0" w:color="auto"/>
        <w:left w:val="none" w:sz="0" w:space="0" w:color="auto"/>
        <w:bottom w:val="none" w:sz="0" w:space="0" w:color="auto"/>
        <w:right w:val="none" w:sz="0" w:space="0" w:color="auto"/>
      </w:divBdr>
    </w:div>
    <w:div w:id="883298768">
      <w:bodyDiv w:val="1"/>
      <w:marLeft w:val="0"/>
      <w:marRight w:val="0"/>
      <w:marTop w:val="0"/>
      <w:marBottom w:val="0"/>
      <w:divBdr>
        <w:top w:val="none" w:sz="0" w:space="0" w:color="auto"/>
        <w:left w:val="none" w:sz="0" w:space="0" w:color="auto"/>
        <w:bottom w:val="none" w:sz="0" w:space="0" w:color="auto"/>
        <w:right w:val="none" w:sz="0" w:space="0" w:color="auto"/>
      </w:divBdr>
    </w:div>
    <w:div w:id="890262497">
      <w:bodyDiv w:val="1"/>
      <w:marLeft w:val="0"/>
      <w:marRight w:val="0"/>
      <w:marTop w:val="0"/>
      <w:marBottom w:val="0"/>
      <w:divBdr>
        <w:top w:val="none" w:sz="0" w:space="0" w:color="auto"/>
        <w:left w:val="none" w:sz="0" w:space="0" w:color="auto"/>
        <w:bottom w:val="none" w:sz="0" w:space="0" w:color="auto"/>
        <w:right w:val="none" w:sz="0" w:space="0" w:color="auto"/>
      </w:divBdr>
      <w:divsChild>
        <w:div w:id="1204705946">
          <w:marLeft w:val="1973"/>
          <w:marRight w:val="0"/>
          <w:marTop w:val="0"/>
          <w:marBottom w:val="120"/>
          <w:divBdr>
            <w:top w:val="none" w:sz="0" w:space="0" w:color="auto"/>
            <w:left w:val="none" w:sz="0" w:space="0" w:color="auto"/>
            <w:bottom w:val="none" w:sz="0" w:space="0" w:color="auto"/>
            <w:right w:val="none" w:sz="0" w:space="0" w:color="auto"/>
          </w:divBdr>
        </w:div>
        <w:div w:id="178354473">
          <w:marLeft w:val="1973"/>
          <w:marRight w:val="0"/>
          <w:marTop w:val="0"/>
          <w:marBottom w:val="120"/>
          <w:divBdr>
            <w:top w:val="none" w:sz="0" w:space="0" w:color="auto"/>
            <w:left w:val="none" w:sz="0" w:space="0" w:color="auto"/>
            <w:bottom w:val="none" w:sz="0" w:space="0" w:color="auto"/>
            <w:right w:val="none" w:sz="0" w:space="0" w:color="auto"/>
          </w:divBdr>
        </w:div>
      </w:divsChild>
    </w:div>
    <w:div w:id="907227852">
      <w:bodyDiv w:val="1"/>
      <w:marLeft w:val="0"/>
      <w:marRight w:val="0"/>
      <w:marTop w:val="0"/>
      <w:marBottom w:val="0"/>
      <w:divBdr>
        <w:top w:val="none" w:sz="0" w:space="0" w:color="auto"/>
        <w:left w:val="none" w:sz="0" w:space="0" w:color="auto"/>
        <w:bottom w:val="none" w:sz="0" w:space="0" w:color="auto"/>
        <w:right w:val="none" w:sz="0" w:space="0" w:color="auto"/>
      </w:divBdr>
    </w:div>
    <w:div w:id="924265528">
      <w:bodyDiv w:val="1"/>
      <w:marLeft w:val="0"/>
      <w:marRight w:val="0"/>
      <w:marTop w:val="0"/>
      <w:marBottom w:val="0"/>
      <w:divBdr>
        <w:top w:val="none" w:sz="0" w:space="0" w:color="auto"/>
        <w:left w:val="none" w:sz="0" w:space="0" w:color="auto"/>
        <w:bottom w:val="none" w:sz="0" w:space="0" w:color="auto"/>
        <w:right w:val="none" w:sz="0" w:space="0" w:color="auto"/>
      </w:divBdr>
    </w:div>
    <w:div w:id="938610702">
      <w:bodyDiv w:val="1"/>
      <w:marLeft w:val="0"/>
      <w:marRight w:val="0"/>
      <w:marTop w:val="0"/>
      <w:marBottom w:val="0"/>
      <w:divBdr>
        <w:top w:val="none" w:sz="0" w:space="0" w:color="auto"/>
        <w:left w:val="none" w:sz="0" w:space="0" w:color="auto"/>
        <w:bottom w:val="none" w:sz="0" w:space="0" w:color="auto"/>
        <w:right w:val="none" w:sz="0" w:space="0" w:color="auto"/>
      </w:divBdr>
    </w:div>
    <w:div w:id="953293853">
      <w:bodyDiv w:val="1"/>
      <w:marLeft w:val="0"/>
      <w:marRight w:val="0"/>
      <w:marTop w:val="0"/>
      <w:marBottom w:val="0"/>
      <w:divBdr>
        <w:top w:val="none" w:sz="0" w:space="0" w:color="auto"/>
        <w:left w:val="none" w:sz="0" w:space="0" w:color="auto"/>
        <w:bottom w:val="none" w:sz="0" w:space="0" w:color="auto"/>
        <w:right w:val="none" w:sz="0" w:space="0" w:color="auto"/>
      </w:divBdr>
    </w:div>
    <w:div w:id="1059748040">
      <w:bodyDiv w:val="1"/>
      <w:marLeft w:val="0"/>
      <w:marRight w:val="0"/>
      <w:marTop w:val="0"/>
      <w:marBottom w:val="0"/>
      <w:divBdr>
        <w:top w:val="none" w:sz="0" w:space="0" w:color="auto"/>
        <w:left w:val="none" w:sz="0" w:space="0" w:color="auto"/>
        <w:bottom w:val="none" w:sz="0" w:space="0" w:color="auto"/>
        <w:right w:val="none" w:sz="0" w:space="0" w:color="auto"/>
      </w:divBdr>
    </w:div>
    <w:div w:id="1063405015">
      <w:bodyDiv w:val="1"/>
      <w:marLeft w:val="0"/>
      <w:marRight w:val="0"/>
      <w:marTop w:val="0"/>
      <w:marBottom w:val="0"/>
      <w:divBdr>
        <w:top w:val="none" w:sz="0" w:space="0" w:color="auto"/>
        <w:left w:val="none" w:sz="0" w:space="0" w:color="auto"/>
        <w:bottom w:val="none" w:sz="0" w:space="0" w:color="auto"/>
        <w:right w:val="none" w:sz="0" w:space="0" w:color="auto"/>
      </w:divBdr>
      <w:divsChild>
        <w:div w:id="1152285953">
          <w:marLeft w:val="0"/>
          <w:marRight w:val="0"/>
          <w:marTop w:val="0"/>
          <w:marBottom w:val="0"/>
          <w:divBdr>
            <w:top w:val="none" w:sz="0" w:space="0" w:color="auto"/>
            <w:left w:val="none" w:sz="0" w:space="0" w:color="auto"/>
            <w:bottom w:val="none" w:sz="0" w:space="0" w:color="auto"/>
            <w:right w:val="none" w:sz="0" w:space="0" w:color="auto"/>
          </w:divBdr>
          <w:divsChild>
            <w:div w:id="644551072">
              <w:marLeft w:val="0"/>
              <w:marRight w:val="0"/>
              <w:marTop w:val="0"/>
              <w:marBottom w:val="0"/>
              <w:divBdr>
                <w:top w:val="none" w:sz="0" w:space="0" w:color="auto"/>
                <w:left w:val="none" w:sz="0" w:space="0" w:color="auto"/>
                <w:bottom w:val="none" w:sz="0" w:space="0" w:color="auto"/>
                <w:right w:val="none" w:sz="0" w:space="0" w:color="auto"/>
              </w:divBdr>
              <w:divsChild>
                <w:div w:id="803157060">
                  <w:marLeft w:val="0"/>
                  <w:marRight w:val="0"/>
                  <w:marTop w:val="0"/>
                  <w:marBottom w:val="0"/>
                  <w:divBdr>
                    <w:top w:val="none" w:sz="0" w:space="0" w:color="auto"/>
                    <w:left w:val="none" w:sz="0" w:space="0" w:color="auto"/>
                    <w:bottom w:val="none" w:sz="0" w:space="0" w:color="auto"/>
                    <w:right w:val="none" w:sz="0" w:space="0" w:color="auto"/>
                  </w:divBdr>
                  <w:divsChild>
                    <w:div w:id="36587311">
                      <w:marLeft w:val="0"/>
                      <w:marRight w:val="0"/>
                      <w:marTop w:val="0"/>
                      <w:marBottom w:val="0"/>
                      <w:divBdr>
                        <w:top w:val="none" w:sz="0" w:space="0" w:color="auto"/>
                        <w:left w:val="none" w:sz="0" w:space="0" w:color="auto"/>
                        <w:bottom w:val="none" w:sz="0" w:space="0" w:color="auto"/>
                        <w:right w:val="none" w:sz="0" w:space="0" w:color="auto"/>
                      </w:divBdr>
                    </w:div>
                    <w:div w:id="59327002">
                      <w:marLeft w:val="0"/>
                      <w:marRight w:val="0"/>
                      <w:marTop w:val="0"/>
                      <w:marBottom w:val="0"/>
                      <w:divBdr>
                        <w:top w:val="none" w:sz="0" w:space="0" w:color="auto"/>
                        <w:left w:val="none" w:sz="0" w:space="0" w:color="auto"/>
                        <w:bottom w:val="none" w:sz="0" w:space="0" w:color="auto"/>
                        <w:right w:val="none" w:sz="0" w:space="0" w:color="auto"/>
                      </w:divBdr>
                    </w:div>
                    <w:div w:id="1851793645">
                      <w:marLeft w:val="0"/>
                      <w:marRight w:val="0"/>
                      <w:marTop w:val="0"/>
                      <w:marBottom w:val="0"/>
                      <w:divBdr>
                        <w:top w:val="none" w:sz="0" w:space="0" w:color="auto"/>
                        <w:left w:val="none" w:sz="0" w:space="0" w:color="auto"/>
                        <w:bottom w:val="none" w:sz="0" w:space="0" w:color="auto"/>
                        <w:right w:val="none" w:sz="0" w:space="0" w:color="auto"/>
                      </w:divBdr>
                    </w:div>
                    <w:div w:id="205287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521318">
      <w:bodyDiv w:val="1"/>
      <w:marLeft w:val="0"/>
      <w:marRight w:val="0"/>
      <w:marTop w:val="0"/>
      <w:marBottom w:val="0"/>
      <w:divBdr>
        <w:top w:val="none" w:sz="0" w:space="0" w:color="auto"/>
        <w:left w:val="none" w:sz="0" w:space="0" w:color="auto"/>
        <w:bottom w:val="none" w:sz="0" w:space="0" w:color="auto"/>
        <w:right w:val="none" w:sz="0" w:space="0" w:color="auto"/>
      </w:divBdr>
      <w:divsChild>
        <w:div w:id="591863625">
          <w:marLeft w:val="0"/>
          <w:marRight w:val="0"/>
          <w:marTop w:val="0"/>
          <w:marBottom w:val="0"/>
          <w:divBdr>
            <w:top w:val="none" w:sz="0" w:space="0" w:color="auto"/>
            <w:left w:val="none" w:sz="0" w:space="0" w:color="auto"/>
            <w:bottom w:val="none" w:sz="0" w:space="0" w:color="auto"/>
            <w:right w:val="none" w:sz="0" w:space="0" w:color="auto"/>
          </w:divBdr>
        </w:div>
        <w:div w:id="1236744614">
          <w:marLeft w:val="0"/>
          <w:marRight w:val="0"/>
          <w:marTop w:val="0"/>
          <w:marBottom w:val="0"/>
          <w:divBdr>
            <w:top w:val="none" w:sz="0" w:space="0" w:color="auto"/>
            <w:left w:val="none" w:sz="0" w:space="0" w:color="auto"/>
            <w:bottom w:val="none" w:sz="0" w:space="0" w:color="auto"/>
            <w:right w:val="none" w:sz="0" w:space="0" w:color="auto"/>
          </w:divBdr>
        </w:div>
        <w:div w:id="1929654781">
          <w:marLeft w:val="0"/>
          <w:marRight w:val="0"/>
          <w:marTop w:val="0"/>
          <w:marBottom w:val="0"/>
          <w:divBdr>
            <w:top w:val="none" w:sz="0" w:space="0" w:color="auto"/>
            <w:left w:val="none" w:sz="0" w:space="0" w:color="auto"/>
            <w:bottom w:val="none" w:sz="0" w:space="0" w:color="auto"/>
            <w:right w:val="none" w:sz="0" w:space="0" w:color="auto"/>
          </w:divBdr>
        </w:div>
      </w:divsChild>
    </w:div>
    <w:div w:id="1090656552">
      <w:bodyDiv w:val="1"/>
      <w:marLeft w:val="0"/>
      <w:marRight w:val="0"/>
      <w:marTop w:val="0"/>
      <w:marBottom w:val="0"/>
      <w:divBdr>
        <w:top w:val="none" w:sz="0" w:space="0" w:color="auto"/>
        <w:left w:val="none" w:sz="0" w:space="0" w:color="auto"/>
        <w:bottom w:val="none" w:sz="0" w:space="0" w:color="auto"/>
        <w:right w:val="none" w:sz="0" w:space="0" w:color="auto"/>
      </w:divBdr>
    </w:div>
    <w:div w:id="1092164398">
      <w:bodyDiv w:val="1"/>
      <w:marLeft w:val="0"/>
      <w:marRight w:val="0"/>
      <w:marTop w:val="0"/>
      <w:marBottom w:val="0"/>
      <w:divBdr>
        <w:top w:val="none" w:sz="0" w:space="0" w:color="auto"/>
        <w:left w:val="none" w:sz="0" w:space="0" w:color="auto"/>
        <w:bottom w:val="none" w:sz="0" w:space="0" w:color="auto"/>
        <w:right w:val="none" w:sz="0" w:space="0" w:color="auto"/>
      </w:divBdr>
    </w:div>
    <w:div w:id="1108501965">
      <w:bodyDiv w:val="1"/>
      <w:marLeft w:val="0"/>
      <w:marRight w:val="0"/>
      <w:marTop w:val="0"/>
      <w:marBottom w:val="0"/>
      <w:divBdr>
        <w:top w:val="none" w:sz="0" w:space="0" w:color="auto"/>
        <w:left w:val="none" w:sz="0" w:space="0" w:color="auto"/>
        <w:bottom w:val="none" w:sz="0" w:space="0" w:color="auto"/>
        <w:right w:val="none" w:sz="0" w:space="0" w:color="auto"/>
      </w:divBdr>
    </w:div>
    <w:div w:id="1126389735">
      <w:bodyDiv w:val="1"/>
      <w:marLeft w:val="0"/>
      <w:marRight w:val="0"/>
      <w:marTop w:val="0"/>
      <w:marBottom w:val="0"/>
      <w:divBdr>
        <w:top w:val="none" w:sz="0" w:space="0" w:color="auto"/>
        <w:left w:val="none" w:sz="0" w:space="0" w:color="auto"/>
        <w:bottom w:val="none" w:sz="0" w:space="0" w:color="auto"/>
        <w:right w:val="none" w:sz="0" w:space="0" w:color="auto"/>
      </w:divBdr>
      <w:divsChild>
        <w:div w:id="1589460030">
          <w:marLeft w:val="0"/>
          <w:marRight w:val="0"/>
          <w:marTop w:val="0"/>
          <w:marBottom w:val="0"/>
          <w:divBdr>
            <w:top w:val="none" w:sz="0" w:space="0" w:color="auto"/>
            <w:left w:val="none" w:sz="0" w:space="0" w:color="auto"/>
            <w:bottom w:val="none" w:sz="0" w:space="0" w:color="auto"/>
            <w:right w:val="none" w:sz="0" w:space="0" w:color="auto"/>
          </w:divBdr>
          <w:divsChild>
            <w:div w:id="55517025">
              <w:marLeft w:val="0"/>
              <w:marRight w:val="0"/>
              <w:marTop w:val="0"/>
              <w:marBottom w:val="0"/>
              <w:divBdr>
                <w:top w:val="none" w:sz="0" w:space="0" w:color="auto"/>
                <w:left w:val="none" w:sz="0" w:space="0" w:color="auto"/>
                <w:bottom w:val="none" w:sz="0" w:space="0" w:color="auto"/>
                <w:right w:val="none" w:sz="0" w:space="0" w:color="auto"/>
              </w:divBdr>
              <w:divsChild>
                <w:div w:id="63957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51119">
      <w:bodyDiv w:val="1"/>
      <w:marLeft w:val="0"/>
      <w:marRight w:val="0"/>
      <w:marTop w:val="0"/>
      <w:marBottom w:val="0"/>
      <w:divBdr>
        <w:top w:val="none" w:sz="0" w:space="0" w:color="auto"/>
        <w:left w:val="none" w:sz="0" w:space="0" w:color="auto"/>
        <w:bottom w:val="none" w:sz="0" w:space="0" w:color="auto"/>
        <w:right w:val="none" w:sz="0" w:space="0" w:color="auto"/>
      </w:divBdr>
    </w:div>
    <w:div w:id="1195581882">
      <w:bodyDiv w:val="1"/>
      <w:marLeft w:val="0"/>
      <w:marRight w:val="0"/>
      <w:marTop w:val="0"/>
      <w:marBottom w:val="0"/>
      <w:divBdr>
        <w:top w:val="none" w:sz="0" w:space="0" w:color="auto"/>
        <w:left w:val="none" w:sz="0" w:space="0" w:color="auto"/>
        <w:bottom w:val="none" w:sz="0" w:space="0" w:color="auto"/>
        <w:right w:val="none" w:sz="0" w:space="0" w:color="auto"/>
      </w:divBdr>
    </w:div>
    <w:div w:id="1216426976">
      <w:bodyDiv w:val="1"/>
      <w:marLeft w:val="0"/>
      <w:marRight w:val="0"/>
      <w:marTop w:val="0"/>
      <w:marBottom w:val="0"/>
      <w:divBdr>
        <w:top w:val="none" w:sz="0" w:space="0" w:color="auto"/>
        <w:left w:val="none" w:sz="0" w:space="0" w:color="auto"/>
        <w:bottom w:val="none" w:sz="0" w:space="0" w:color="auto"/>
        <w:right w:val="none" w:sz="0" w:space="0" w:color="auto"/>
      </w:divBdr>
    </w:div>
    <w:div w:id="1224177755">
      <w:bodyDiv w:val="1"/>
      <w:marLeft w:val="0"/>
      <w:marRight w:val="0"/>
      <w:marTop w:val="0"/>
      <w:marBottom w:val="0"/>
      <w:divBdr>
        <w:top w:val="none" w:sz="0" w:space="0" w:color="auto"/>
        <w:left w:val="none" w:sz="0" w:space="0" w:color="auto"/>
        <w:bottom w:val="none" w:sz="0" w:space="0" w:color="auto"/>
        <w:right w:val="none" w:sz="0" w:space="0" w:color="auto"/>
      </w:divBdr>
      <w:divsChild>
        <w:div w:id="1998194003">
          <w:marLeft w:val="965"/>
          <w:marRight w:val="0"/>
          <w:marTop w:val="77"/>
          <w:marBottom w:val="0"/>
          <w:divBdr>
            <w:top w:val="none" w:sz="0" w:space="0" w:color="auto"/>
            <w:left w:val="none" w:sz="0" w:space="0" w:color="auto"/>
            <w:bottom w:val="none" w:sz="0" w:space="0" w:color="auto"/>
            <w:right w:val="none" w:sz="0" w:space="0" w:color="auto"/>
          </w:divBdr>
        </w:div>
      </w:divsChild>
    </w:div>
    <w:div w:id="1251738853">
      <w:bodyDiv w:val="1"/>
      <w:marLeft w:val="0"/>
      <w:marRight w:val="0"/>
      <w:marTop w:val="0"/>
      <w:marBottom w:val="0"/>
      <w:divBdr>
        <w:top w:val="none" w:sz="0" w:space="0" w:color="auto"/>
        <w:left w:val="none" w:sz="0" w:space="0" w:color="auto"/>
        <w:bottom w:val="none" w:sz="0" w:space="0" w:color="auto"/>
        <w:right w:val="none" w:sz="0" w:space="0" w:color="auto"/>
      </w:divBdr>
      <w:divsChild>
        <w:div w:id="1843230336">
          <w:marLeft w:val="547"/>
          <w:marRight w:val="0"/>
          <w:marTop w:val="0"/>
          <w:marBottom w:val="0"/>
          <w:divBdr>
            <w:top w:val="none" w:sz="0" w:space="0" w:color="auto"/>
            <w:left w:val="none" w:sz="0" w:space="0" w:color="auto"/>
            <w:bottom w:val="none" w:sz="0" w:space="0" w:color="auto"/>
            <w:right w:val="none" w:sz="0" w:space="0" w:color="auto"/>
          </w:divBdr>
        </w:div>
      </w:divsChild>
    </w:div>
    <w:div w:id="1359041589">
      <w:bodyDiv w:val="1"/>
      <w:marLeft w:val="0"/>
      <w:marRight w:val="0"/>
      <w:marTop w:val="0"/>
      <w:marBottom w:val="0"/>
      <w:divBdr>
        <w:top w:val="none" w:sz="0" w:space="0" w:color="auto"/>
        <w:left w:val="none" w:sz="0" w:space="0" w:color="auto"/>
        <w:bottom w:val="none" w:sz="0" w:space="0" w:color="auto"/>
        <w:right w:val="none" w:sz="0" w:space="0" w:color="auto"/>
      </w:divBdr>
    </w:div>
    <w:div w:id="1369144312">
      <w:bodyDiv w:val="1"/>
      <w:marLeft w:val="0"/>
      <w:marRight w:val="0"/>
      <w:marTop w:val="0"/>
      <w:marBottom w:val="0"/>
      <w:divBdr>
        <w:top w:val="none" w:sz="0" w:space="0" w:color="auto"/>
        <w:left w:val="none" w:sz="0" w:space="0" w:color="auto"/>
        <w:bottom w:val="none" w:sz="0" w:space="0" w:color="auto"/>
        <w:right w:val="none" w:sz="0" w:space="0" w:color="auto"/>
      </w:divBdr>
      <w:divsChild>
        <w:div w:id="24450932">
          <w:marLeft w:val="0"/>
          <w:marRight w:val="0"/>
          <w:marTop w:val="0"/>
          <w:marBottom w:val="0"/>
          <w:divBdr>
            <w:top w:val="none" w:sz="0" w:space="0" w:color="auto"/>
            <w:left w:val="none" w:sz="0" w:space="0" w:color="auto"/>
            <w:bottom w:val="none" w:sz="0" w:space="0" w:color="auto"/>
            <w:right w:val="none" w:sz="0" w:space="0" w:color="auto"/>
          </w:divBdr>
        </w:div>
        <w:div w:id="52701528">
          <w:marLeft w:val="0"/>
          <w:marRight w:val="0"/>
          <w:marTop w:val="0"/>
          <w:marBottom w:val="0"/>
          <w:divBdr>
            <w:top w:val="none" w:sz="0" w:space="0" w:color="auto"/>
            <w:left w:val="none" w:sz="0" w:space="0" w:color="auto"/>
            <w:bottom w:val="none" w:sz="0" w:space="0" w:color="auto"/>
            <w:right w:val="none" w:sz="0" w:space="0" w:color="auto"/>
          </w:divBdr>
        </w:div>
        <w:div w:id="79715812">
          <w:marLeft w:val="0"/>
          <w:marRight w:val="0"/>
          <w:marTop w:val="0"/>
          <w:marBottom w:val="0"/>
          <w:divBdr>
            <w:top w:val="none" w:sz="0" w:space="0" w:color="auto"/>
            <w:left w:val="none" w:sz="0" w:space="0" w:color="auto"/>
            <w:bottom w:val="none" w:sz="0" w:space="0" w:color="auto"/>
            <w:right w:val="none" w:sz="0" w:space="0" w:color="auto"/>
          </w:divBdr>
        </w:div>
        <w:div w:id="95831944">
          <w:marLeft w:val="0"/>
          <w:marRight w:val="0"/>
          <w:marTop w:val="0"/>
          <w:marBottom w:val="0"/>
          <w:divBdr>
            <w:top w:val="none" w:sz="0" w:space="0" w:color="auto"/>
            <w:left w:val="none" w:sz="0" w:space="0" w:color="auto"/>
            <w:bottom w:val="none" w:sz="0" w:space="0" w:color="auto"/>
            <w:right w:val="none" w:sz="0" w:space="0" w:color="auto"/>
          </w:divBdr>
        </w:div>
        <w:div w:id="165826410">
          <w:marLeft w:val="0"/>
          <w:marRight w:val="0"/>
          <w:marTop w:val="0"/>
          <w:marBottom w:val="0"/>
          <w:divBdr>
            <w:top w:val="none" w:sz="0" w:space="0" w:color="auto"/>
            <w:left w:val="none" w:sz="0" w:space="0" w:color="auto"/>
            <w:bottom w:val="none" w:sz="0" w:space="0" w:color="auto"/>
            <w:right w:val="none" w:sz="0" w:space="0" w:color="auto"/>
          </w:divBdr>
        </w:div>
        <w:div w:id="191383251">
          <w:marLeft w:val="0"/>
          <w:marRight w:val="0"/>
          <w:marTop w:val="0"/>
          <w:marBottom w:val="0"/>
          <w:divBdr>
            <w:top w:val="none" w:sz="0" w:space="0" w:color="auto"/>
            <w:left w:val="none" w:sz="0" w:space="0" w:color="auto"/>
            <w:bottom w:val="none" w:sz="0" w:space="0" w:color="auto"/>
            <w:right w:val="none" w:sz="0" w:space="0" w:color="auto"/>
          </w:divBdr>
        </w:div>
        <w:div w:id="256015469">
          <w:marLeft w:val="0"/>
          <w:marRight w:val="0"/>
          <w:marTop w:val="0"/>
          <w:marBottom w:val="0"/>
          <w:divBdr>
            <w:top w:val="none" w:sz="0" w:space="0" w:color="auto"/>
            <w:left w:val="none" w:sz="0" w:space="0" w:color="auto"/>
            <w:bottom w:val="none" w:sz="0" w:space="0" w:color="auto"/>
            <w:right w:val="none" w:sz="0" w:space="0" w:color="auto"/>
          </w:divBdr>
        </w:div>
        <w:div w:id="273749079">
          <w:marLeft w:val="0"/>
          <w:marRight w:val="0"/>
          <w:marTop w:val="0"/>
          <w:marBottom w:val="0"/>
          <w:divBdr>
            <w:top w:val="none" w:sz="0" w:space="0" w:color="auto"/>
            <w:left w:val="none" w:sz="0" w:space="0" w:color="auto"/>
            <w:bottom w:val="none" w:sz="0" w:space="0" w:color="auto"/>
            <w:right w:val="none" w:sz="0" w:space="0" w:color="auto"/>
          </w:divBdr>
        </w:div>
        <w:div w:id="330107659">
          <w:marLeft w:val="0"/>
          <w:marRight w:val="0"/>
          <w:marTop w:val="0"/>
          <w:marBottom w:val="0"/>
          <w:divBdr>
            <w:top w:val="none" w:sz="0" w:space="0" w:color="auto"/>
            <w:left w:val="none" w:sz="0" w:space="0" w:color="auto"/>
            <w:bottom w:val="none" w:sz="0" w:space="0" w:color="auto"/>
            <w:right w:val="none" w:sz="0" w:space="0" w:color="auto"/>
          </w:divBdr>
        </w:div>
        <w:div w:id="341248334">
          <w:marLeft w:val="0"/>
          <w:marRight w:val="0"/>
          <w:marTop w:val="0"/>
          <w:marBottom w:val="0"/>
          <w:divBdr>
            <w:top w:val="none" w:sz="0" w:space="0" w:color="auto"/>
            <w:left w:val="none" w:sz="0" w:space="0" w:color="auto"/>
            <w:bottom w:val="none" w:sz="0" w:space="0" w:color="auto"/>
            <w:right w:val="none" w:sz="0" w:space="0" w:color="auto"/>
          </w:divBdr>
        </w:div>
        <w:div w:id="387336734">
          <w:marLeft w:val="0"/>
          <w:marRight w:val="0"/>
          <w:marTop w:val="0"/>
          <w:marBottom w:val="0"/>
          <w:divBdr>
            <w:top w:val="none" w:sz="0" w:space="0" w:color="auto"/>
            <w:left w:val="none" w:sz="0" w:space="0" w:color="auto"/>
            <w:bottom w:val="none" w:sz="0" w:space="0" w:color="auto"/>
            <w:right w:val="none" w:sz="0" w:space="0" w:color="auto"/>
          </w:divBdr>
        </w:div>
        <w:div w:id="404227391">
          <w:marLeft w:val="0"/>
          <w:marRight w:val="0"/>
          <w:marTop w:val="0"/>
          <w:marBottom w:val="0"/>
          <w:divBdr>
            <w:top w:val="none" w:sz="0" w:space="0" w:color="auto"/>
            <w:left w:val="none" w:sz="0" w:space="0" w:color="auto"/>
            <w:bottom w:val="none" w:sz="0" w:space="0" w:color="auto"/>
            <w:right w:val="none" w:sz="0" w:space="0" w:color="auto"/>
          </w:divBdr>
        </w:div>
        <w:div w:id="429475007">
          <w:marLeft w:val="0"/>
          <w:marRight w:val="0"/>
          <w:marTop w:val="0"/>
          <w:marBottom w:val="0"/>
          <w:divBdr>
            <w:top w:val="none" w:sz="0" w:space="0" w:color="auto"/>
            <w:left w:val="none" w:sz="0" w:space="0" w:color="auto"/>
            <w:bottom w:val="none" w:sz="0" w:space="0" w:color="auto"/>
            <w:right w:val="none" w:sz="0" w:space="0" w:color="auto"/>
          </w:divBdr>
        </w:div>
        <w:div w:id="436414280">
          <w:marLeft w:val="0"/>
          <w:marRight w:val="0"/>
          <w:marTop w:val="0"/>
          <w:marBottom w:val="0"/>
          <w:divBdr>
            <w:top w:val="none" w:sz="0" w:space="0" w:color="auto"/>
            <w:left w:val="none" w:sz="0" w:space="0" w:color="auto"/>
            <w:bottom w:val="none" w:sz="0" w:space="0" w:color="auto"/>
            <w:right w:val="none" w:sz="0" w:space="0" w:color="auto"/>
          </w:divBdr>
        </w:div>
        <w:div w:id="455415300">
          <w:marLeft w:val="0"/>
          <w:marRight w:val="0"/>
          <w:marTop w:val="0"/>
          <w:marBottom w:val="0"/>
          <w:divBdr>
            <w:top w:val="none" w:sz="0" w:space="0" w:color="auto"/>
            <w:left w:val="none" w:sz="0" w:space="0" w:color="auto"/>
            <w:bottom w:val="none" w:sz="0" w:space="0" w:color="auto"/>
            <w:right w:val="none" w:sz="0" w:space="0" w:color="auto"/>
          </w:divBdr>
        </w:div>
        <w:div w:id="463691711">
          <w:marLeft w:val="0"/>
          <w:marRight w:val="0"/>
          <w:marTop w:val="0"/>
          <w:marBottom w:val="0"/>
          <w:divBdr>
            <w:top w:val="none" w:sz="0" w:space="0" w:color="auto"/>
            <w:left w:val="none" w:sz="0" w:space="0" w:color="auto"/>
            <w:bottom w:val="none" w:sz="0" w:space="0" w:color="auto"/>
            <w:right w:val="none" w:sz="0" w:space="0" w:color="auto"/>
          </w:divBdr>
        </w:div>
        <w:div w:id="464349173">
          <w:marLeft w:val="0"/>
          <w:marRight w:val="0"/>
          <w:marTop w:val="0"/>
          <w:marBottom w:val="0"/>
          <w:divBdr>
            <w:top w:val="none" w:sz="0" w:space="0" w:color="auto"/>
            <w:left w:val="none" w:sz="0" w:space="0" w:color="auto"/>
            <w:bottom w:val="none" w:sz="0" w:space="0" w:color="auto"/>
            <w:right w:val="none" w:sz="0" w:space="0" w:color="auto"/>
          </w:divBdr>
        </w:div>
        <w:div w:id="493380596">
          <w:marLeft w:val="0"/>
          <w:marRight w:val="0"/>
          <w:marTop w:val="0"/>
          <w:marBottom w:val="0"/>
          <w:divBdr>
            <w:top w:val="none" w:sz="0" w:space="0" w:color="auto"/>
            <w:left w:val="none" w:sz="0" w:space="0" w:color="auto"/>
            <w:bottom w:val="none" w:sz="0" w:space="0" w:color="auto"/>
            <w:right w:val="none" w:sz="0" w:space="0" w:color="auto"/>
          </w:divBdr>
        </w:div>
        <w:div w:id="516697920">
          <w:marLeft w:val="0"/>
          <w:marRight w:val="0"/>
          <w:marTop w:val="0"/>
          <w:marBottom w:val="0"/>
          <w:divBdr>
            <w:top w:val="none" w:sz="0" w:space="0" w:color="auto"/>
            <w:left w:val="none" w:sz="0" w:space="0" w:color="auto"/>
            <w:bottom w:val="none" w:sz="0" w:space="0" w:color="auto"/>
            <w:right w:val="none" w:sz="0" w:space="0" w:color="auto"/>
          </w:divBdr>
        </w:div>
        <w:div w:id="558976590">
          <w:marLeft w:val="0"/>
          <w:marRight w:val="0"/>
          <w:marTop w:val="0"/>
          <w:marBottom w:val="0"/>
          <w:divBdr>
            <w:top w:val="none" w:sz="0" w:space="0" w:color="auto"/>
            <w:left w:val="none" w:sz="0" w:space="0" w:color="auto"/>
            <w:bottom w:val="none" w:sz="0" w:space="0" w:color="auto"/>
            <w:right w:val="none" w:sz="0" w:space="0" w:color="auto"/>
          </w:divBdr>
        </w:div>
        <w:div w:id="566188624">
          <w:marLeft w:val="0"/>
          <w:marRight w:val="0"/>
          <w:marTop w:val="0"/>
          <w:marBottom w:val="0"/>
          <w:divBdr>
            <w:top w:val="none" w:sz="0" w:space="0" w:color="auto"/>
            <w:left w:val="none" w:sz="0" w:space="0" w:color="auto"/>
            <w:bottom w:val="none" w:sz="0" w:space="0" w:color="auto"/>
            <w:right w:val="none" w:sz="0" w:space="0" w:color="auto"/>
          </w:divBdr>
        </w:div>
        <w:div w:id="612325988">
          <w:marLeft w:val="0"/>
          <w:marRight w:val="0"/>
          <w:marTop w:val="0"/>
          <w:marBottom w:val="0"/>
          <w:divBdr>
            <w:top w:val="none" w:sz="0" w:space="0" w:color="auto"/>
            <w:left w:val="none" w:sz="0" w:space="0" w:color="auto"/>
            <w:bottom w:val="none" w:sz="0" w:space="0" w:color="auto"/>
            <w:right w:val="none" w:sz="0" w:space="0" w:color="auto"/>
          </w:divBdr>
        </w:div>
        <w:div w:id="639044260">
          <w:marLeft w:val="0"/>
          <w:marRight w:val="0"/>
          <w:marTop w:val="0"/>
          <w:marBottom w:val="0"/>
          <w:divBdr>
            <w:top w:val="none" w:sz="0" w:space="0" w:color="auto"/>
            <w:left w:val="none" w:sz="0" w:space="0" w:color="auto"/>
            <w:bottom w:val="none" w:sz="0" w:space="0" w:color="auto"/>
            <w:right w:val="none" w:sz="0" w:space="0" w:color="auto"/>
          </w:divBdr>
        </w:div>
        <w:div w:id="639846007">
          <w:marLeft w:val="0"/>
          <w:marRight w:val="0"/>
          <w:marTop w:val="0"/>
          <w:marBottom w:val="0"/>
          <w:divBdr>
            <w:top w:val="none" w:sz="0" w:space="0" w:color="auto"/>
            <w:left w:val="none" w:sz="0" w:space="0" w:color="auto"/>
            <w:bottom w:val="none" w:sz="0" w:space="0" w:color="auto"/>
            <w:right w:val="none" w:sz="0" w:space="0" w:color="auto"/>
          </w:divBdr>
        </w:div>
        <w:div w:id="639920297">
          <w:marLeft w:val="0"/>
          <w:marRight w:val="0"/>
          <w:marTop w:val="0"/>
          <w:marBottom w:val="0"/>
          <w:divBdr>
            <w:top w:val="none" w:sz="0" w:space="0" w:color="auto"/>
            <w:left w:val="none" w:sz="0" w:space="0" w:color="auto"/>
            <w:bottom w:val="none" w:sz="0" w:space="0" w:color="auto"/>
            <w:right w:val="none" w:sz="0" w:space="0" w:color="auto"/>
          </w:divBdr>
        </w:div>
        <w:div w:id="650331533">
          <w:marLeft w:val="0"/>
          <w:marRight w:val="0"/>
          <w:marTop w:val="0"/>
          <w:marBottom w:val="0"/>
          <w:divBdr>
            <w:top w:val="none" w:sz="0" w:space="0" w:color="auto"/>
            <w:left w:val="none" w:sz="0" w:space="0" w:color="auto"/>
            <w:bottom w:val="none" w:sz="0" w:space="0" w:color="auto"/>
            <w:right w:val="none" w:sz="0" w:space="0" w:color="auto"/>
          </w:divBdr>
        </w:div>
        <w:div w:id="650908057">
          <w:marLeft w:val="0"/>
          <w:marRight w:val="0"/>
          <w:marTop w:val="0"/>
          <w:marBottom w:val="0"/>
          <w:divBdr>
            <w:top w:val="none" w:sz="0" w:space="0" w:color="auto"/>
            <w:left w:val="none" w:sz="0" w:space="0" w:color="auto"/>
            <w:bottom w:val="none" w:sz="0" w:space="0" w:color="auto"/>
            <w:right w:val="none" w:sz="0" w:space="0" w:color="auto"/>
          </w:divBdr>
        </w:div>
        <w:div w:id="685904172">
          <w:marLeft w:val="0"/>
          <w:marRight w:val="0"/>
          <w:marTop w:val="0"/>
          <w:marBottom w:val="0"/>
          <w:divBdr>
            <w:top w:val="none" w:sz="0" w:space="0" w:color="auto"/>
            <w:left w:val="none" w:sz="0" w:space="0" w:color="auto"/>
            <w:bottom w:val="none" w:sz="0" w:space="0" w:color="auto"/>
            <w:right w:val="none" w:sz="0" w:space="0" w:color="auto"/>
          </w:divBdr>
        </w:div>
        <w:div w:id="714932692">
          <w:marLeft w:val="0"/>
          <w:marRight w:val="0"/>
          <w:marTop w:val="0"/>
          <w:marBottom w:val="0"/>
          <w:divBdr>
            <w:top w:val="none" w:sz="0" w:space="0" w:color="auto"/>
            <w:left w:val="none" w:sz="0" w:space="0" w:color="auto"/>
            <w:bottom w:val="none" w:sz="0" w:space="0" w:color="auto"/>
            <w:right w:val="none" w:sz="0" w:space="0" w:color="auto"/>
          </w:divBdr>
        </w:div>
        <w:div w:id="723874996">
          <w:marLeft w:val="0"/>
          <w:marRight w:val="0"/>
          <w:marTop w:val="0"/>
          <w:marBottom w:val="0"/>
          <w:divBdr>
            <w:top w:val="none" w:sz="0" w:space="0" w:color="auto"/>
            <w:left w:val="none" w:sz="0" w:space="0" w:color="auto"/>
            <w:bottom w:val="none" w:sz="0" w:space="0" w:color="auto"/>
            <w:right w:val="none" w:sz="0" w:space="0" w:color="auto"/>
          </w:divBdr>
        </w:div>
        <w:div w:id="744183174">
          <w:marLeft w:val="0"/>
          <w:marRight w:val="0"/>
          <w:marTop w:val="0"/>
          <w:marBottom w:val="0"/>
          <w:divBdr>
            <w:top w:val="none" w:sz="0" w:space="0" w:color="auto"/>
            <w:left w:val="none" w:sz="0" w:space="0" w:color="auto"/>
            <w:bottom w:val="none" w:sz="0" w:space="0" w:color="auto"/>
            <w:right w:val="none" w:sz="0" w:space="0" w:color="auto"/>
          </w:divBdr>
        </w:div>
        <w:div w:id="786193351">
          <w:marLeft w:val="0"/>
          <w:marRight w:val="0"/>
          <w:marTop w:val="0"/>
          <w:marBottom w:val="0"/>
          <w:divBdr>
            <w:top w:val="none" w:sz="0" w:space="0" w:color="auto"/>
            <w:left w:val="none" w:sz="0" w:space="0" w:color="auto"/>
            <w:bottom w:val="none" w:sz="0" w:space="0" w:color="auto"/>
            <w:right w:val="none" w:sz="0" w:space="0" w:color="auto"/>
          </w:divBdr>
        </w:div>
        <w:div w:id="832842944">
          <w:marLeft w:val="0"/>
          <w:marRight w:val="0"/>
          <w:marTop w:val="0"/>
          <w:marBottom w:val="0"/>
          <w:divBdr>
            <w:top w:val="none" w:sz="0" w:space="0" w:color="auto"/>
            <w:left w:val="none" w:sz="0" w:space="0" w:color="auto"/>
            <w:bottom w:val="none" w:sz="0" w:space="0" w:color="auto"/>
            <w:right w:val="none" w:sz="0" w:space="0" w:color="auto"/>
          </w:divBdr>
        </w:div>
        <w:div w:id="850216055">
          <w:marLeft w:val="0"/>
          <w:marRight w:val="0"/>
          <w:marTop w:val="0"/>
          <w:marBottom w:val="0"/>
          <w:divBdr>
            <w:top w:val="none" w:sz="0" w:space="0" w:color="auto"/>
            <w:left w:val="none" w:sz="0" w:space="0" w:color="auto"/>
            <w:bottom w:val="none" w:sz="0" w:space="0" w:color="auto"/>
            <w:right w:val="none" w:sz="0" w:space="0" w:color="auto"/>
          </w:divBdr>
        </w:div>
        <w:div w:id="862355220">
          <w:marLeft w:val="0"/>
          <w:marRight w:val="0"/>
          <w:marTop w:val="0"/>
          <w:marBottom w:val="0"/>
          <w:divBdr>
            <w:top w:val="none" w:sz="0" w:space="0" w:color="auto"/>
            <w:left w:val="none" w:sz="0" w:space="0" w:color="auto"/>
            <w:bottom w:val="none" w:sz="0" w:space="0" w:color="auto"/>
            <w:right w:val="none" w:sz="0" w:space="0" w:color="auto"/>
          </w:divBdr>
        </w:div>
        <w:div w:id="888150670">
          <w:marLeft w:val="0"/>
          <w:marRight w:val="0"/>
          <w:marTop w:val="0"/>
          <w:marBottom w:val="0"/>
          <w:divBdr>
            <w:top w:val="none" w:sz="0" w:space="0" w:color="auto"/>
            <w:left w:val="none" w:sz="0" w:space="0" w:color="auto"/>
            <w:bottom w:val="none" w:sz="0" w:space="0" w:color="auto"/>
            <w:right w:val="none" w:sz="0" w:space="0" w:color="auto"/>
          </w:divBdr>
        </w:div>
        <w:div w:id="920334177">
          <w:marLeft w:val="0"/>
          <w:marRight w:val="0"/>
          <w:marTop w:val="0"/>
          <w:marBottom w:val="0"/>
          <w:divBdr>
            <w:top w:val="none" w:sz="0" w:space="0" w:color="auto"/>
            <w:left w:val="none" w:sz="0" w:space="0" w:color="auto"/>
            <w:bottom w:val="none" w:sz="0" w:space="0" w:color="auto"/>
            <w:right w:val="none" w:sz="0" w:space="0" w:color="auto"/>
          </w:divBdr>
        </w:div>
        <w:div w:id="929585934">
          <w:marLeft w:val="0"/>
          <w:marRight w:val="0"/>
          <w:marTop w:val="0"/>
          <w:marBottom w:val="0"/>
          <w:divBdr>
            <w:top w:val="none" w:sz="0" w:space="0" w:color="auto"/>
            <w:left w:val="none" w:sz="0" w:space="0" w:color="auto"/>
            <w:bottom w:val="none" w:sz="0" w:space="0" w:color="auto"/>
            <w:right w:val="none" w:sz="0" w:space="0" w:color="auto"/>
          </w:divBdr>
        </w:div>
        <w:div w:id="939920601">
          <w:marLeft w:val="0"/>
          <w:marRight w:val="0"/>
          <w:marTop w:val="0"/>
          <w:marBottom w:val="0"/>
          <w:divBdr>
            <w:top w:val="none" w:sz="0" w:space="0" w:color="auto"/>
            <w:left w:val="none" w:sz="0" w:space="0" w:color="auto"/>
            <w:bottom w:val="none" w:sz="0" w:space="0" w:color="auto"/>
            <w:right w:val="none" w:sz="0" w:space="0" w:color="auto"/>
          </w:divBdr>
        </w:div>
        <w:div w:id="945305805">
          <w:marLeft w:val="0"/>
          <w:marRight w:val="0"/>
          <w:marTop w:val="0"/>
          <w:marBottom w:val="0"/>
          <w:divBdr>
            <w:top w:val="none" w:sz="0" w:space="0" w:color="auto"/>
            <w:left w:val="none" w:sz="0" w:space="0" w:color="auto"/>
            <w:bottom w:val="none" w:sz="0" w:space="0" w:color="auto"/>
            <w:right w:val="none" w:sz="0" w:space="0" w:color="auto"/>
          </w:divBdr>
        </w:div>
        <w:div w:id="946814721">
          <w:marLeft w:val="0"/>
          <w:marRight w:val="0"/>
          <w:marTop w:val="0"/>
          <w:marBottom w:val="0"/>
          <w:divBdr>
            <w:top w:val="none" w:sz="0" w:space="0" w:color="auto"/>
            <w:left w:val="none" w:sz="0" w:space="0" w:color="auto"/>
            <w:bottom w:val="none" w:sz="0" w:space="0" w:color="auto"/>
            <w:right w:val="none" w:sz="0" w:space="0" w:color="auto"/>
          </w:divBdr>
        </w:div>
        <w:div w:id="951788397">
          <w:marLeft w:val="0"/>
          <w:marRight w:val="0"/>
          <w:marTop w:val="0"/>
          <w:marBottom w:val="0"/>
          <w:divBdr>
            <w:top w:val="none" w:sz="0" w:space="0" w:color="auto"/>
            <w:left w:val="none" w:sz="0" w:space="0" w:color="auto"/>
            <w:bottom w:val="none" w:sz="0" w:space="0" w:color="auto"/>
            <w:right w:val="none" w:sz="0" w:space="0" w:color="auto"/>
          </w:divBdr>
        </w:div>
        <w:div w:id="962615716">
          <w:marLeft w:val="0"/>
          <w:marRight w:val="0"/>
          <w:marTop w:val="0"/>
          <w:marBottom w:val="0"/>
          <w:divBdr>
            <w:top w:val="none" w:sz="0" w:space="0" w:color="auto"/>
            <w:left w:val="none" w:sz="0" w:space="0" w:color="auto"/>
            <w:bottom w:val="none" w:sz="0" w:space="0" w:color="auto"/>
            <w:right w:val="none" w:sz="0" w:space="0" w:color="auto"/>
          </w:divBdr>
        </w:div>
        <w:div w:id="979072020">
          <w:marLeft w:val="0"/>
          <w:marRight w:val="0"/>
          <w:marTop w:val="0"/>
          <w:marBottom w:val="0"/>
          <w:divBdr>
            <w:top w:val="none" w:sz="0" w:space="0" w:color="auto"/>
            <w:left w:val="none" w:sz="0" w:space="0" w:color="auto"/>
            <w:bottom w:val="none" w:sz="0" w:space="0" w:color="auto"/>
            <w:right w:val="none" w:sz="0" w:space="0" w:color="auto"/>
          </w:divBdr>
        </w:div>
        <w:div w:id="989600003">
          <w:marLeft w:val="0"/>
          <w:marRight w:val="0"/>
          <w:marTop w:val="0"/>
          <w:marBottom w:val="0"/>
          <w:divBdr>
            <w:top w:val="none" w:sz="0" w:space="0" w:color="auto"/>
            <w:left w:val="none" w:sz="0" w:space="0" w:color="auto"/>
            <w:bottom w:val="none" w:sz="0" w:space="0" w:color="auto"/>
            <w:right w:val="none" w:sz="0" w:space="0" w:color="auto"/>
          </w:divBdr>
        </w:div>
        <w:div w:id="1001815554">
          <w:marLeft w:val="0"/>
          <w:marRight w:val="0"/>
          <w:marTop w:val="0"/>
          <w:marBottom w:val="0"/>
          <w:divBdr>
            <w:top w:val="none" w:sz="0" w:space="0" w:color="auto"/>
            <w:left w:val="none" w:sz="0" w:space="0" w:color="auto"/>
            <w:bottom w:val="none" w:sz="0" w:space="0" w:color="auto"/>
            <w:right w:val="none" w:sz="0" w:space="0" w:color="auto"/>
          </w:divBdr>
        </w:div>
        <w:div w:id="1046682037">
          <w:marLeft w:val="0"/>
          <w:marRight w:val="0"/>
          <w:marTop w:val="0"/>
          <w:marBottom w:val="0"/>
          <w:divBdr>
            <w:top w:val="none" w:sz="0" w:space="0" w:color="auto"/>
            <w:left w:val="none" w:sz="0" w:space="0" w:color="auto"/>
            <w:bottom w:val="none" w:sz="0" w:space="0" w:color="auto"/>
            <w:right w:val="none" w:sz="0" w:space="0" w:color="auto"/>
          </w:divBdr>
        </w:div>
        <w:div w:id="1049919083">
          <w:marLeft w:val="0"/>
          <w:marRight w:val="0"/>
          <w:marTop w:val="0"/>
          <w:marBottom w:val="0"/>
          <w:divBdr>
            <w:top w:val="none" w:sz="0" w:space="0" w:color="auto"/>
            <w:left w:val="none" w:sz="0" w:space="0" w:color="auto"/>
            <w:bottom w:val="none" w:sz="0" w:space="0" w:color="auto"/>
            <w:right w:val="none" w:sz="0" w:space="0" w:color="auto"/>
          </w:divBdr>
        </w:div>
        <w:div w:id="1051736441">
          <w:marLeft w:val="0"/>
          <w:marRight w:val="0"/>
          <w:marTop w:val="0"/>
          <w:marBottom w:val="0"/>
          <w:divBdr>
            <w:top w:val="none" w:sz="0" w:space="0" w:color="auto"/>
            <w:left w:val="none" w:sz="0" w:space="0" w:color="auto"/>
            <w:bottom w:val="none" w:sz="0" w:space="0" w:color="auto"/>
            <w:right w:val="none" w:sz="0" w:space="0" w:color="auto"/>
          </w:divBdr>
        </w:div>
        <w:div w:id="1081412884">
          <w:marLeft w:val="0"/>
          <w:marRight w:val="0"/>
          <w:marTop w:val="0"/>
          <w:marBottom w:val="0"/>
          <w:divBdr>
            <w:top w:val="none" w:sz="0" w:space="0" w:color="auto"/>
            <w:left w:val="none" w:sz="0" w:space="0" w:color="auto"/>
            <w:bottom w:val="none" w:sz="0" w:space="0" w:color="auto"/>
            <w:right w:val="none" w:sz="0" w:space="0" w:color="auto"/>
          </w:divBdr>
        </w:div>
        <w:div w:id="1094596747">
          <w:marLeft w:val="0"/>
          <w:marRight w:val="0"/>
          <w:marTop w:val="0"/>
          <w:marBottom w:val="0"/>
          <w:divBdr>
            <w:top w:val="none" w:sz="0" w:space="0" w:color="auto"/>
            <w:left w:val="none" w:sz="0" w:space="0" w:color="auto"/>
            <w:bottom w:val="none" w:sz="0" w:space="0" w:color="auto"/>
            <w:right w:val="none" w:sz="0" w:space="0" w:color="auto"/>
          </w:divBdr>
        </w:div>
        <w:div w:id="1098795477">
          <w:marLeft w:val="0"/>
          <w:marRight w:val="0"/>
          <w:marTop w:val="0"/>
          <w:marBottom w:val="0"/>
          <w:divBdr>
            <w:top w:val="none" w:sz="0" w:space="0" w:color="auto"/>
            <w:left w:val="none" w:sz="0" w:space="0" w:color="auto"/>
            <w:bottom w:val="none" w:sz="0" w:space="0" w:color="auto"/>
            <w:right w:val="none" w:sz="0" w:space="0" w:color="auto"/>
          </w:divBdr>
        </w:div>
        <w:div w:id="1099789365">
          <w:marLeft w:val="0"/>
          <w:marRight w:val="0"/>
          <w:marTop w:val="0"/>
          <w:marBottom w:val="0"/>
          <w:divBdr>
            <w:top w:val="none" w:sz="0" w:space="0" w:color="auto"/>
            <w:left w:val="none" w:sz="0" w:space="0" w:color="auto"/>
            <w:bottom w:val="none" w:sz="0" w:space="0" w:color="auto"/>
            <w:right w:val="none" w:sz="0" w:space="0" w:color="auto"/>
          </w:divBdr>
        </w:div>
        <w:div w:id="1109010781">
          <w:marLeft w:val="0"/>
          <w:marRight w:val="0"/>
          <w:marTop w:val="0"/>
          <w:marBottom w:val="0"/>
          <w:divBdr>
            <w:top w:val="none" w:sz="0" w:space="0" w:color="auto"/>
            <w:left w:val="none" w:sz="0" w:space="0" w:color="auto"/>
            <w:bottom w:val="none" w:sz="0" w:space="0" w:color="auto"/>
            <w:right w:val="none" w:sz="0" w:space="0" w:color="auto"/>
          </w:divBdr>
        </w:div>
        <w:div w:id="1120876045">
          <w:marLeft w:val="0"/>
          <w:marRight w:val="0"/>
          <w:marTop w:val="0"/>
          <w:marBottom w:val="0"/>
          <w:divBdr>
            <w:top w:val="none" w:sz="0" w:space="0" w:color="auto"/>
            <w:left w:val="none" w:sz="0" w:space="0" w:color="auto"/>
            <w:bottom w:val="none" w:sz="0" w:space="0" w:color="auto"/>
            <w:right w:val="none" w:sz="0" w:space="0" w:color="auto"/>
          </w:divBdr>
        </w:div>
        <w:div w:id="1132331231">
          <w:marLeft w:val="0"/>
          <w:marRight w:val="0"/>
          <w:marTop w:val="0"/>
          <w:marBottom w:val="0"/>
          <w:divBdr>
            <w:top w:val="none" w:sz="0" w:space="0" w:color="auto"/>
            <w:left w:val="none" w:sz="0" w:space="0" w:color="auto"/>
            <w:bottom w:val="none" w:sz="0" w:space="0" w:color="auto"/>
            <w:right w:val="none" w:sz="0" w:space="0" w:color="auto"/>
          </w:divBdr>
        </w:div>
        <w:div w:id="1160199983">
          <w:marLeft w:val="0"/>
          <w:marRight w:val="0"/>
          <w:marTop w:val="0"/>
          <w:marBottom w:val="0"/>
          <w:divBdr>
            <w:top w:val="none" w:sz="0" w:space="0" w:color="auto"/>
            <w:left w:val="none" w:sz="0" w:space="0" w:color="auto"/>
            <w:bottom w:val="none" w:sz="0" w:space="0" w:color="auto"/>
            <w:right w:val="none" w:sz="0" w:space="0" w:color="auto"/>
          </w:divBdr>
        </w:div>
        <w:div w:id="1175265614">
          <w:marLeft w:val="0"/>
          <w:marRight w:val="0"/>
          <w:marTop w:val="0"/>
          <w:marBottom w:val="0"/>
          <w:divBdr>
            <w:top w:val="none" w:sz="0" w:space="0" w:color="auto"/>
            <w:left w:val="none" w:sz="0" w:space="0" w:color="auto"/>
            <w:bottom w:val="none" w:sz="0" w:space="0" w:color="auto"/>
            <w:right w:val="none" w:sz="0" w:space="0" w:color="auto"/>
          </w:divBdr>
        </w:div>
        <w:div w:id="1179391107">
          <w:marLeft w:val="0"/>
          <w:marRight w:val="0"/>
          <w:marTop w:val="0"/>
          <w:marBottom w:val="0"/>
          <w:divBdr>
            <w:top w:val="none" w:sz="0" w:space="0" w:color="auto"/>
            <w:left w:val="none" w:sz="0" w:space="0" w:color="auto"/>
            <w:bottom w:val="none" w:sz="0" w:space="0" w:color="auto"/>
            <w:right w:val="none" w:sz="0" w:space="0" w:color="auto"/>
          </w:divBdr>
        </w:div>
        <w:div w:id="1199586686">
          <w:marLeft w:val="0"/>
          <w:marRight w:val="0"/>
          <w:marTop w:val="0"/>
          <w:marBottom w:val="0"/>
          <w:divBdr>
            <w:top w:val="none" w:sz="0" w:space="0" w:color="auto"/>
            <w:left w:val="none" w:sz="0" w:space="0" w:color="auto"/>
            <w:bottom w:val="none" w:sz="0" w:space="0" w:color="auto"/>
            <w:right w:val="none" w:sz="0" w:space="0" w:color="auto"/>
          </w:divBdr>
        </w:div>
        <w:div w:id="1209956816">
          <w:marLeft w:val="0"/>
          <w:marRight w:val="0"/>
          <w:marTop w:val="0"/>
          <w:marBottom w:val="0"/>
          <w:divBdr>
            <w:top w:val="none" w:sz="0" w:space="0" w:color="auto"/>
            <w:left w:val="none" w:sz="0" w:space="0" w:color="auto"/>
            <w:bottom w:val="none" w:sz="0" w:space="0" w:color="auto"/>
            <w:right w:val="none" w:sz="0" w:space="0" w:color="auto"/>
          </w:divBdr>
        </w:div>
        <w:div w:id="1221939388">
          <w:marLeft w:val="0"/>
          <w:marRight w:val="0"/>
          <w:marTop w:val="0"/>
          <w:marBottom w:val="0"/>
          <w:divBdr>
            <w:top w:val="none" w:sz="0" w:space="0" w:color="auto"/>
            <w:left w:val="none" w:sz="0" w:space="0" w:color="auto"/>
            <w:bottom w:val="none" w:sz="0" w:space="0" w:color="auto"/>
            <w:right w:val="none" w:sz="0" w:space="0" w:color="auto"/>
          </w:divBdr>
        </w:div>
        <w:div w:id="1227835950">
          <w:marLeft w:val="0"/>
          <w:marRight w:val="0"/>
          <w:marTop w:val="0"/>
          <w:marBottom w:val="0"/>
          <w:divBdr>
            <w:top w:val="none" w:sz="0" w:space="0" w:color="auto"/>
            <w:left w:val="none" w:sz="0" w:space="0" w:color="auto"/>
            <w:bottom w:val="none" w:sz="0" w:space="0" w:color="auto"/>
            <w:right w:val="none" w:sz="0" w:space="0" w:color="auto"/>
          </w:divBdr>
        </w:div>
        <w:div w:id="1233465331">
          <w:marLeft w:val="0"/>
          <w:marRight w:val="0"/>
          <w:marTop w:val="0"/>
          <w:marBottom w:val="0"/>
          <w:divBdr>
            <w:top w:val="none" w:sz="0" w:space="0" w:color="auto"/>
            <w:left w:val="none" w:sz="0" w:space="0" w:color="auto"/>
            <w:bottom w:val="none" w:sz="0" w:space="0" w:color="auto"/>
            <w:right w:val="none" w:sz="0" w:space="0" w:color="auto"/>
          </w:divBdr>
        </w:div>
        <w:div w:id="1264262624">
          <w:marLeft w:val="0"/>
          <w:marRight w:val="0"/>
          <w:marTop w:val="0"/>
          <w:marBottom w:val="0"/>
          <w:divBdr>
            <w:top w:val="none" w:sz="0" w:space="0" w:color="auto"/>
            <w:left w:val="none" w:sz="0" w:space="0" w:color="auto"/>
            <w:bottom w:val="none" w:sz="0" w:space="0" w:color="auto"/>
            <w:right w:val="none" w:sz="0" w:space="0" w:color="auto"/>
          </w:divBdr>
        </w:div>
        <w:div w:id="1265724191">
          <w:marLeft w:val="0"/>
          <w:marRight w:val="0"/>
          <w:marTop w:val="0"/>
          <w:marBottom w:val="0"/>
          <w:divBdr>
            <w:top w:val="none" w:sz="0" w:space="0" w:color="auto"/>
            <w:left w:val="none" w:sz="0" w:space="0" w:color="auto"/>
            <w:bottom w:val="none" w:sz="0" w:space="0" w:color="auto"/>
            <w:right w:val="none" w:sz="0" w:space="0" w:color="auto"/>
          </w:divBdr>
        </w:div>
        <w:div w:id="1290277663">
          <w:marLeft w:val="0"/>
          <w:marRight w:val="0"/>
          <w:marTop w:val="0"/>
          <w:marBottom w:val="0"/>
          <w:divBdr>
            <w:top w:val="none" w:sz="0" w:space="0" w:color="auto"/>
            <w:left w:val="none" w:sz="0" w:space="0" w:color="auto"/>
            <w:bottom w:val="none" w:sz="0" w:space="0" w:color="auto"/>
            <w:right w:val="none" w:sz="0" w:space="0" w:color="auto"/>
          </w:divBdr>
        </w:div>
        <w:div w:id="1307467425">
          <w:marLeft w:val="0"/>
          <w:marRight w:val="0"/>
          <w:marTop w:val="0"/>
          <w:marBottom w:val="0"/>
          <w:divBdr>
            <w:top w:val="none" w:sz="0" w:space="0" w:color="auto"/>
            <w:left w:val="none" w:sz="0" w:space="0" w:color="auto"/>
            <w:bottom w:val="none" w:sz="0" w:space="0" w:color="auto"/>
            <w:right w:val="none" w:sz="0" w:space="0" w:color="auto"/>
          </w:divBdr>
        </w:div>
        <w:div w:id="1307590113">
          <w:marLeft w:val="0"/>
          <w:marRight w:val="0"/>
          <w:marTop w:val="0"/>
          <w:marBottom w:val="0"/>
          <w:divBdr>
            <w:top w:val="none" w:sz="0" w:space="0" w:color="auto"/>
            <w:left w:val="none" w:sz="0" w:space="0" w:color="auto"/>
            <w:bottom w:val="none" w:sz="0" w:space="0" w:color="auto"/>
            <w:right w:val="none" w:sz="0" w:space="0" w:color="auto"/>
          </w:divBdr>
        </w:div>
        <w:div w:id="1325015884">
          <w:marLeft w:val="0"/>
          <w:marRight w:val="0"/>
          <w:marTop w:val="0"/>
          <w:marBottom w:val="0"/>
          <w:divBdr>
            <w:top w:val="none" w:sz="0" w:space="0" w:color="auto"/>
            <w:left w:val="none" w:sz="0" w:space="0" w:color="auto"/>
            <w:bottom w:val="none" w:sz="0" w:space="0" w:color="auto"/>
            <w:right w:val="none" w:sz="0" w:space="0" w:color="auto"/>
          </w:divBdr>
        </w:div>
        <w:div w:id="1332828020">
          <w:marLeft w:val="0"/>
          <w:marRight w:val="0"/>
          <w:marTop w:val="0"/>
          <w:marBottom w:val="0"/>
          <w:divBdr>
            <w:top w:val="none" w:sz="0" w:space="0" w:color="auto"/>
            <w:left w:val="none" w:sz="0" w:space="0" w:color="auto"/>
            <w:bottom w:val="none" w:sz="0" w:space="0" w:color="auto"/>
            <w:right w:val="none" w:sz="0" w:space="0" w:color="auto"/>
          </w:divBdr>
        </w:div>
        <w:div w:id="1340155891">
          <w:marLeft w:val="0"/>
          <w:marRight w:val="0"/>
          <w:marTop w:val="0"/>
          <w:marBottom w:val="0"/>
          <w:divBdr>
            <w:top w:val="none" w:sz="0" w:space="0" w:color="auto"/>
            <w:left w:val="none" w:sz="0" w:space="0" w:color="auto"/>
            <w:bottom w:val="none" w:sz="0" w:space="0" w:color="auto"/>
            <w:right w:val="none" w:sz="0" w:space="0" w:color="auto"/>
          </w:divBdr>
        </w:div>
        <w:div w:id="1350529371">
          <w:marLeft w:val="0"/>
          <w:marRight w:val="0"/>
          <w:marTop w:val="0"/>
          <w:marBottom w:val="0"/>
          <w:divBdr>
            <w:top w:val="none" w:sz="0" w:space="0" w:color="auto"/>
            <w:left w:val="none" w:sz="0" w:space="0" w:color="auto"/>
            <w:bottom w:val="none" w:sz="0" w:space="0" w:color="auto"/>
            <w:right w:val="none" w:sz="0" w:space="0" w:color="auto"/>
          </w:divBdr>
        </w:div>
        <w:div w:id="1351377779">
          <w:marLeft w:val="0"/>
          <w:marRight w:val="0"/>
          <w:marTop w:val="0"/>
          <w:marBottom w:val="0"/>
          <w:divBdr>
            <w:top w:val="none" w:sz="0" w:space="0" w:color="auto"/>
            <w:left w:val="none" w:sz="0" w:space="0" w:color="auto"/>
            <w:bottom w:val="none" w:sz="0" w:space="0" w:color="auto"/>
            <w:right w:val="none" w:sz="0" w:space="0" w:color="auto"/>
          </w:divBdr>
        </w:div>
        <w:div w:id="1406992921">
          <w:marLeft w:val="0"/>
          <w:marRight w:val="0"/>
          <w:marTop w:val="0"/>
          <w:marBottom w:val="0"/>
          <w:divBdr>
            <w:top w:val="none" w:sz="0" w:space="0" w:color="auto"/>
            <w:left w:val="none" w:sz="0" w:space="0" w:color="auto"/>
            <w:bottom w:val="none" w:sz="0" w:space="0" w:color="auto"/>
            <w:right w:val="none" w:sz="0" w:space="0" w:color="auto"/>
          </w:divBdr>
        </w:div>
        <w:div w:id="1414204286">
          <w:marLeft w:val="0"/>
          <w:marRight w:val="0"/>
          <w:marTop w:val="0"/>
          <w:marBottom w:val="0"/>
          <w:divBdr>
            <w:top w:val="none" w:sz="0" w:space="0" w:color="auto"/>
            <w:left w:val="none" w:sz="0" w:space="0" w:color="auto"/>
            <w:bottom w:val="none" w:sz="0" w:space="0" w:color="auto"/>
            <w:right w:val="none" w:sz="0" w:space="0" w:color="auto"/>
          </w:divBdr>
        </w:div>
        <w:div w:id="1435705369">
          <w:marLeft w:val="0"/>
          <w:marRight w:val="0"/>
          <w:marTop w:val="0"/>
          <w:marBottom w:val="0"/>
          <w:divBdr>
            <w:top w:val="none" w:sz="0" w:space="0" w:color="auto"/>
            <w:left w:val="none" w:sz="0" w:space="0" w:color="auto"/>
            <w:bottom w:val="none" w:sz="0" w:space="0" w:color="auto"/>
            <w:right w:val="none" w:sz="0" w:space="0" w:color="auto"/>
          </w:divBdr>
        </w:div>
        <w:div w:id="1469736703">
          <w:marLeft w:val="0"/>
          <w:marRight w:val="0"/>
          <w:marTop w:val="0"/>
          <w:marBottom w:val="0"/>
          <w:divBdr>
            <w:top w:val="none" w:sz="0" w:space="0" w:color="auto"/>
            <w:left w:val="none" w:sz="0" w:space="0" w:color="auto"/>
            <w:bottom w:val="none" w:sz="0" w:space="0" w:color="auto"/>
            <w:right w:val="none" w:sz="0" w:space="0" w:color="auto"/>
          </w:divBdr>
        </w:div>
        <w:div w:id="1491825990">
          <w:marLeft w:val="0"/>
          <w:marRight w:val="0"/>
          <w:marTop w:val="0"/>
          <w:marBottom w:val="0"/>
          <w:divBdr>
            <w:top w:val="none" w:sz="0" w:space="0" w:color="auto"/>
            <w:left w:val="none" w:sz="0" w:space="0" w:color="auto"/>
            <w:bottom w:val="none" w:sz="0" w:space="0" w:color="auto"/>
            <w:right w:val="none" w:sz="0" w:space="0" w:color="auto"/>
          </w:divBdr>
        </w:div>
        <w:div w:id="1504470350">
          <w:marLeft w:val="0"/>
          <w:marRight w:val="0"/>
          <w:marTop w:val="0"/>
          <w:marBottom w:val="0"/>
          <w:divBdr>
            <w:top w:val="none" w:sz="0" w:space="0" w:color="auto"/>
            <w:left w:val="none" w:sz="0" w:space="0" w:color="auto"/>
            <w:bottom w:val="none" w:sz="0" w:space="0" w:color="auto"/>
            <w:right w:val="none" w:sz="0" w:space="0" w:color="auto"/>
          </w:divBdr>
        </w:div>
        <w:div w:id="1521043275">
          <w:marLeft w:val="0"/>
          <w:marRight w:val="0"/>
          <w:marTop w:val="0"/>
          <w:marBottom w:val="0"/>
          <w:divBdr>
            <w:top w:val="none" w:sz="0" w:space="0" w:color="auto"/>
            <w:left w:val="none" w:sz="0" w:space="0" w:color="auto"/>
            <w:bottom w:val="none" w:sz="0" w:space="0" w:color="auto"/>
            <w:right w:val="none" w:sz="0" w:space="0" w:color="auto"/>
          </w:divBdr>
        </w:div>
        <w:div w:id="1530221029">
          <w:marLeft w:val="0"/>
          <w:marRight w:val="0"/>
          <w:marTop w:val="0"/>
          <w:marBottom w:val="0"/>
          <w:divBdr>
            <w:top w:val="none" w:sz="0" w:space="0" w:color="auto"/>
            <w:left w:val="none" w:sz="0" w:space="0" w:color="auto"/>
            <w:bottom w:val="none" w:sz="0" w:space="0" w:color="auto"/>
            <w:right w:val="none" w:sz="0" w:space="0" w:color="auto"/>
          </w:divBdr>
        </w:div>
        <w:div w:id="1608654956">
          <w:marLeft w:val="0"/>
          <w:marRight w:val="0"/>
          <w:marTop w:val="0"/>
          <w:marBottom w:val="0"/>
          <w:divBdr>
            <w:top w:val="none" w:sz="0" w:space="0" w:color="auto"/>
            <w:left w:val="none" w:sz="0" w:space="0" w:color="auto"/>
            <w:bottom w:val="none" w:sz="0" w:space="0" w:color="auto"/>
            <w:right w:val="none" w:sz="0" w:space="0" w:color="auto"/>
          </w:divBdr>
        </w:div>
        <w:div w:id="1612124790">
          <w:marLeft w:val="0"/>
          <w:marRight w:val="0"/>
          <w:marTop w:val="0"/>
          <w:marBottom w:val="0"/>
          <w:divBdr>
            <w:top w:val="none" w:sz="0" w:space="0" w:color="auto"/>
            <w:left w:val="none" w:sz="0" w:space="0" w:color="auto"/>
            <w:bottom w:val="none" w:sz="0" w:space="0" w:color="auto"/>
            <w:right w:val="none" w:sz="0" w:space="0" w:color="auto"/>
          </w:divBdr>
        </w:div>
        <w:div w:id="1665938164">
          <w:marLeft w:val="0"/>
          <w:marRight w:val="0"/>
          <w:marTop w:val="0"/>
          <w:marBottom w:val="0"/>
          <w:divBdr>
            <w:top w:val="none" w:sz="0" w:space="0" w:color="auto"/>
            <w:left w:val="none" w:sz="0" w:space="0" w:color="auto"/>
            <w:bottom w:val="none" w:sz="0" w:space="0" w:color="auto"/>
            <w:right w:val="none" w:sz="0" w:space="0" w:color="auto"/>
          </w:divBdr>
        </w:div>
        <w:div w:id="1691100724">
          <w:marLeft w:val="0"/>
          <w:marRight w:val="0"/>
          <w:marTop w:val="0"/>
          <w:marBottom w:val="0"/>
          <w:divBdr>
            <w:top w:val="none" w:sz="0" w:space="0" w:color="auto"/>
            <w:left w:val="none" w:sz="0" w:space="0" w:color="auto"/>
            <w:bottom w:val="none" w:sz="0" w:space="0" w:color="auto"/>
            <w:right w:val="none" w:sz="0" w:space="0" w:color="auto"/>
          </w:divBdr>
        </w:div>
        <w:div w:id="1707829842">
          <w:marLeft w:val="0"/>
          <w:marRight w:val="0"/>
          <w:marTop w:val="0"/>
          <w:marBottom w:val="0"/>
          <w:divBdr>
            <w:top w:val="none" w:sz="0" w:space="0" w:color="auto"/>
            <w:left w:val="none" w:sz="0" w:space="0" w:color="auto"/>
            <w:bottom w:val="none" w:sz="0" w:space="0" w:color="auto"/>
            <w:right w:val="none" w:sz="0" w:space="0" w:color="auto"/>
          </w:divBdr>
        </w:div>
        <w:div w:id="1712223635">
          <w:marLeft w:val="0"/>
          <w:marRight w:val="0"/>
          <w:marTop w:val="0"/>
          <w:marBottom w:val="0"/>
          <w:divBdr>
            <w:top w:val="none" w:sz="0" w:space="0" w:color="auto"/>
            <w:left w:val="none" w:sz="0" w:space="0" w:color="auto"/>
            <w:bottom w:val="none" w:sz="0" w:space="0" w:color="auto"/>
            <w:right w:val="none" w:sz="0" w:space="0" w:color="auto"/>
          </w:divBdr>
        </w:div>
        <w:div w:id="1749382904">
          <w:marLeft w:val="0"/>
          <w:marRight w:val="0"/>
          <w:marTop w:val="0"/>
          <w:marBottom w:val="0"/>
          <w:divBdr>
            <w:top w:val="none" w:sz="0" w:space="0" w:color="auto"/>
            <w:left w:val="none" w:sz="0" w:space="0" w:color="auto"/>
            <w:bottom w:val="none" w:sz="0" w:space="0" w:color="auto"/>
            <w:right w:val="none" w:sz="0" w:space="0" w:color="auto"/>
          </w:divBdr>
        </w:div>
        <w:div w:id="1761172274">
          <w:marLeft w:val="0"/>
          <w:marRight w:val="0"/>
          <w:marTop w:val="0"/>
          <w:marBottom w:val="0"/>
          <w:divBdr>
            <w:top w:val="none" w:sz="0" w:space="0" w:color="auto"/>
            <w:left w:val="none" w:sz="0" w:space="0" w:color="auto"/>
            <w:bottom w:val="none" w:sz="0" w:space="0" w:color="auto"/>
            <w:right w:val="none" w:sz="0" w:space="0" w:color="auto"/>
          </w:divBdr>
        </w:div>
        <w:div w:id="1792673390">
          <w:marLeft w:val="0"/>
          <w:marRight w:val="0"/>
          <w:marTop w:val="0"/>
          <w:marBottom w:val="0"/>
          <w:divBdr>
            <w:top w:val="none" w:sz="0" w:space="0" w:color="auto"/>
            <w:left w:val="none" w:sz="0" w:space="0" w:color="auto"/>
            <w:bottom w:val="none" w:sz="0" w:space="0" w:color="auto"/>
            <w:right w:val="none" w:sz="0" w:space="0" w:color="auto"/>
          </w:divBdr>
        </w:div>
        <w:div w:id="1795323912">
          <w:marLeft w:val="0"/>
          <w:marRight w:val="0"/>
          <w:marTop w:val="0"/>
          <w:marBottom w:val="0"/>
          <w:divBdr>
            <w:top w:val="none" w:sz="0" w:space="0" w:color="auto"/>
            <w:left w:val="none" w:sz="0" w:space="0" w:color="auto"/>
            <w:bottom w:val="none" w:sz="0" w:space="0" w:color="auto"/>
            <w:right w:val="none" w:sz="0" w:space="0" w:color="auto"/>
          </w:divBdr>
        </w:div>
        <w:div w:id="1806197242">
          <w:marLeft w:val="0"/>
          <w:marRight w:val="0"/>
          <w:marTop w:val="0"/>
          <w:marBottom w:val="0"/>
          <w:divBdr>
            <w:top w:val="none" w:sz="0" w:space="0" w:color="auto"/>
            <w:left w:val="none" w:sz="0" w:space="0" w:color="auto"/>
            <w:bottom w:val="none" w:sz="0" w:space="0" w:color="auto"/>
            <w:right w:val="none" w:sz="0" w:space="0" w:color="auto"/>
          </w:divBdr>
        </w:div>
        <w:div w:id="1866475418">
          <w:marLeft w:val="0"/>
          <w:marRight w:val="0"/>
          <w:marTop w:val="0"/>
          <w:marBottom w:val="0"/>
          <w:divBdr>
            <w:top w:val="none" w:sz="0" w:space="0" w:color="auto"/>
            <w:left w:val="none" w:sz="0" w:space="0" w:color="auto"/>
            <w:bottom w:val="none" w:sz="0" w:space="0" w:color="auto"/>
            <w:right w:val="none" w:sz="0" w:space="0" w:color="auto"/>
          </w:divBdr>
        </w:div>
        <w:div w:id="1869177334">
          <w:marLeft w:val="0"/>
          <w:marRight w:val="0"/>
          <w:marTop w:val="0"/>
          <w:marBottom w:val="0"/>
          <w:divBdr>
            <w:top w:val="none" w:sz="0" w:space="0" w:color="auto"/>
            <w:left w:val="none" w:sz="0" w:space="0" w:color="auto"/>
            <w:bottom w:val="none" w:sz="0" w:space="0" w:color="auto"/>
            <w:right w:val="none" w:sz="0" w:space="0" w:color="auto"/>
          </w:divBdr>
        </w:div>
        <w:div w:id="1909151423">
          <w:marLeft w:val="0"/>
          <w:marRight w:val="0"/>
          <w:marTop w:val="0"/>
          <w:marBottom w:val="0"/>
          <w:divBdr>
            <w:top w:val="none" w:sz="0" w:space="0" w:color="auto"/>
            <w:left w:val="none" w:sz="0" w:space="0" w:color="auto"/>
            <w:bottom w:val="none" w:sz="0" w:space="0" w:color="auto"/>
            <w:right w:val="none" w:sz="0" w:space="0" w:color="auto"/>
          </w:divBdr>
        </w:div>
        <w:div w:id="1915507182">
          <w:marLeft w:val="0"/>
          <w:marRight w:val="0"/>
          <w:marTop w:val="0"/>
          <w:marBottom w:val="0"/>
          <w:divBdr>
            <w:top w:val="none" w:sz="0" w:space="0" w:color="auto"/>
            <w:left w:val="none" w:sz="0" w:space="0" w:color="auto"/>
            <w:bottom w:val="none" w:sz="0" w:space="0" w:color="auto"/>
            <w:right w:val="none" w:sz="0" w:space="0" w:color="auto"/>
          </w:divBdr>
        </w:div>
        <w:div w:id="1929923731">
          <w:marLeft w:val="0"/>
          <w:marRight w:val="0"/>
          <w:marTop w:val="0"/>
          <w:marBottom w:val="0"/>
          <w:divBdr>
            <w:top w:val="none" w:sz="0" w:space="0" w:color="auto"/>
            <w:left w:val="none" w:sz="0" w:space="0" w:color="auto"/>
            <w:bottom w:val="none" w:sz="0" w:space="0" w:color="auto"/>
            <w:right w:val="none" w:sz="0" w:space="0" w:color="auto"/>
          </w:divBdr>
        </w:div>
        <w:div w:id="1939946055">
          <w:marLeft w:val="0"/>
          <w:marRight w:val="0"/>
          <w:marTop w:val="0"/>
          <w:marBottom w:val="0"/>
          <w:divBdr>
            <w:top w:val="none" w:sz="0" w:space="0" w:color="auto"/>
            <w:left w:val="none" w:sz="0" w:space="0" w:color="auto"/>
            <w:bottom w:val="none" w:sz="0" w:space="0" w:color="auto"/>
            <w:right w:val="none" w:sz="0" w:space="0" w:color="auto"/>
          </w:divBdr>
        </w:div>
        <w:div w:id="1945841102">
          <w:marLeft w:val="0"/>
          <w:marRight w:val="0"/>
          <w:marTop w:val="0"/>
          <w:marBottom w:val="0"/>
          <w:divBdr>
            <w:top w:val="none" w:sz="0" w:space="0" w:color="auto"/>
            <w:left w:val="none" w:sz="0" w:space="0" w:color="auto"/>
            <w:bottom w:val="none" w:sz="0" w:space="0" w:color="auto"/>
            <w:right w:val="none" w:sz="0" w:space="0" w:color="auto"/>
          </w:divBdr>
        </w:div>
        <w:div w:id="1952589932">
          <w:marLeft w:val="0"/>
          <w:marRight w:val="0"/>
          <w:marTop w:val="0"/>
          <w:marBottom w:val="0"/>
          <w:divBdr>
            <w:top w:val="none" w:sz="0" w:space="0" w:color="auto"/>
            <w:left w:val="none" w:sz="0" w:space="0" w:color="auto"/>
            <w:bottom w:val="none" w:sz="0" w:space="0" w:color="auto"/>
            <w:right w:val="none" w:sz="0" w:space="0" w:color="auto"/>
          </w:divBdr>
        </w:div>
        <w:div w:id="1989438084">
          <w:marLeft w:val="0"/>
          <w:marRight w:val="0"/>
          <w:marTop w:val="0"/>
          <w:marBottom w:val="0"/>
          <w:divBdr>
            <w:top w:val="none" w:sz="0" w:space="0" w:color="auto"/>
            <w:left w:val="none" w:sz="0" w:space="0" w:color="auto"/>
            <w:bottom w:val="none" w:sz="0" w:space="0" w:color="auto"/>
            <w:right w:val="none" w:sz="0" w:space="0" w:color="auto"/>
          </w:divBdr>
        </w:div>
        <w:div w:id="2044163766">
          <w:marLeft w:val="0"/>
          <w:marRight w:val="0"/>
          <w:marTop w:val="0"/>
          <w:marBottom w:val="0"/>
          <w:divBdr>
            <w:top w:val="none" w:sz="0" w:space="0" w:color="auto"/>
            <w:left w:val="none" w:sz="0" w:space="0" w:color="auto"/>
            <w:bottom w:val="none" w:sz="0" w:space="0" w:color="auto"/>
            <w:right w:val="none" w:sz="0" w:space="0" w:color="auto"/>
          </w:divBdr>
        </w:div>
        <w:div w:id="2088914106">
          <w:marLeft w:val="0"/>
          <w:marRight w:val="0"/>
          <w:marTop w:val="0"/>
          <w:marBottom w:val="0"/>
          <w:divBdr>
            <w:top w:val="none" w:sz="0" w:space="0" w:color="auto"/>
            <w:left w:val="none" w:sz="0" w:space="0" w:color="auto"/>
            <w:bottom w:val="none" w:sz="0" w:space="0" w:color="auto"/>
            <w:right w:val="none" w:sz="0" w:space="0" w:color="auto"/>
          </w:divBdr>
        </w:div>
        <w:div w:id="2090736586">
          <w:marLeft w:val="0"/>
          <w:marRight w:val="0"/>
          <w:marTop w:val="0"/>
          <w:marBottom w:val="0"/>
          <w:divBdr>
            <w:top w:val="none" w:sz="0" w:space="0" w:color="auto"/>
            <w:left w:val="none" w:sz="0" w:space="0" w:color="auto"/>
            <w:bottom w:val="none" w:sz="0" w:space="0" w:color="auto"/>
            <w:right w:val="none" w:sz="0" w:space="0" w:color="auto"/>
          </w:divBdr>
        </w:div>
        <w:div w:id="2130778851">
          <w:marLeft w:val="0"/>
          <w:marRight w:val="0"/>
          <w:marTop w:val="0"/>
          <w:marBottom w:val="0"/>
          <w:divBdr>
            <w:top w:val="none" w:sz="0" w:space="0" w:color="auto"/>
            <w:left w:val="none" w:sz="0" w:space="0" w:color="auto"/>
            <w:bottom w:val="none" w:sz="0" w:space="0" w:color="auto"/>
            <w:right w:val="none" w:sz="0" w:space="0" w:color="auto"/>
          </w:divBdr>
        </w:div>
      </w:divsChild>
    </w:div>
    <w:div w:id="1407268855">
      <w:bodyDiv w:val="1"/>
      <w:marLeft w:val="0"/>
      <w:marRight w:val="0"/>
      <w:marTop w:val="0"/>
      <w:marBottom w:val="0"/>
      <w:divBdr>
        <w:top w:val="none" w:sz="0" w:space="0" w:color="auto"/>
        <w:left w:val="none" w:sz="0" w:space="0" w:color="auto"/>
        <w:bottom w:val="none" w:sz="0" w:space="0" w:color="auto"/>
        <w:right w:val="none" w:sz="0" w:space="0" w:color="auto"/>
      </w:divBdr>
      <w:divsChild>
        <w:div w:id="646396507">
          <w:marLeft w:val="0"/>
          <w:marRight w:val="0"/>
          <w:marTop w:val="0"/>
          <w:marBottom w:val="0"/>
          <w:divBdr>
            <w:top w:val="none" w:sz="0" w:space="0" w:color="auto"/>
            <w:left w:val="none" w:sz="0" w:space="0" w:color="auto"/>
            <w:bottom w:val="none" w:sz="0" w:space="0" w:color="auto"/>
            <w:right w:val="none" w:sz="0" w:space="0" w:color="auto"/>
          </w:divBdr>
        </w:div>
        <w:div w:id="1381712525">
          <w:marLeft w:val="0"/>
          <w:marRight w:val="0"/>
          <w:marTop w:val="0"/>
          <w:marBottom w:val="0"/>
          <w:divBdr>
            <w:top w:val="none" w:sz="0" w:space="0" w:color="auto"/>
            <w:left w:val="none" w:sz="0" w:space="0" w:color="auto"/>
            <w:bottom w:val="none" w:sz="0" w:space="0" w:color="auto"/>
            <w:right w:val="none" w:sz="0" w:space="0" w:color="auto"/>
          </w:divBdr>
        </w:div>
        <w:div w:id="1399326790">
          <w:marLeft w:val="0"/>
          <w:marRight w:val="0"/>
          <w:marTop w:val="0"/>
          <w:marBottom w:val="0"/>
          <w:divBdr>
            <w:top w:val="none" w:sz="0" w:space="0" w:color="auto"/>
            <w:left w:val="none" w:sz="0" w:space="0" w:color="auto"/>
            <w:bottom w:val="none" w:sz="0" w:space="0" w:color="auto"/>
            <w:right w:val="none" w:sz="0" w:space="0" w:color="auto"/>
          </w:divBdr>
        </w:div>
        <w:div w:id="1563832075">
          <w:marLeft w:val="0"/>
          <w:marRight w:val="0"/>
          <w:marTop w:val="0"/>
          <w:marBottom w:val="0"/>
          <w:divBdr>
            <w:top w:val="none" w:sz="0" w:space="0" w:color="auto"/>
            <w:left w:val="none" w:sz="0" w:space="0" w:color="auto"/>
            <w:bottom w:val="none" w:sz="0" w:space="0" w:color="auto"/>
            <w:right w:val="none" w:sz="0" w:space="0" w:color="auto"/>
          </w:divBdr>
        </w:div>
        <w:div w:id="1727605772">
          <w:marLeft w:val="0"/>
          <w:marRight w:val="0"/>
          <w:marTop w:val="0"/>
          <w:marBottom w:val="0"/>
          <w:divBdr>
            <w:top w:val="none" w:sz="0" w:space="0" w:color="auto"/>
            <w:left w:val="none" w:sz="0" w:space="0" w:color="auto"/>
            <w:bottom w:val="none" w:sz="0" w:space="0" w:color="auto"/>
            <w:right w:val="none" w:sz="0" w:space="0" w:color="auto"/>
          </w:divBdr>
        </w:div>
      </w:divsChild>
    </w:div>
    <w:div w:id="1419253260">
      <w:bodyDiv w:val="1"/>
      <w:marLeft w:val="0"/>
      <w:marRight w:val="0"/>
      <w:marTop w:val="0"/>
      <w:marBottom w:val="0"/>
      <w:divBdr>
        <w:top w:val="none" w:sz="0" w:space="0" w:color="auto"/>
        <w:left w:val="none" w:sz="0" w:space="0" w:color="auto"/>
        <w:bottom w:val="none" w:sz="0" w:space="0" w:color="auto"/>
        <w:right w:val="none" w:sz="0" w:space="0" w:color="auto"/>
      </w:divBdr>
      <w:divsChild>
        <w:div w:id="538519770">
          <w:marLeft w:val="0"/>
          <w:marRight w:val="0"/>
          <w:marTop w:val="0"/>
          <w:marBottom w:val="0"/>
          <w:divBdr>
            <w:top w:val="none" w:sz="0" w:space="0" w:color="auto"/>
            <w:left w:val="none" w:sz="0" w:space="0" w:color="auto"/>
            <w:bottom w:val="none" w:sz="0" w:space="0" w:color="auto"/>
            <w:right w:val="none" w:sz="0" w:space="0" w:color="auto"/>
          </w:divBdr>
        </w:div>
        <w:div w:id="885147014">
          <w:marLeft w:val="0"/>
          <w:marRight w:val="0"/>
          <w:marTop w:val="0"/>
          <w:marBottom w:val="0"/>
          <w:divBdr>
            <w:top w:val="none" w:sz="0" w:space="0" w:color="auto"/>
            <w:left w:val="none" w:sz="0" w:space="0" w:color="auto"/>
            <w:bottom w:val="none" w:sz="0" w:space="0" w:color="auto"/>
            <w:right w:val="none" w:sz="0" w:space="0" w:color="auto"/>
          </w:divBdr>
        </w:div>
      </w:divsChild>
    </w:div>
    <w:div w:id="1432163461">
      <w:bodyDiv w:val="1"/>
      <w:marLeft w:val="0"/>
      <w:marRight w:val="0"/>
      <w:marTop w:val="0"/>
      <w:marBottom w:val="0"/>
      <w:divBdr>
        <w:top w:val="none" w:sz="0" w:space="0" w:color="auto"/>
        <w:left w:val="none" w:sz="0" w:space="0" w:color="auto"/>
        <w:bottom w:val="none" w:sz="0" w:space="0" w:color="auto"/>
        <w:right w:val="none" w:sz="0" w:space="0" w:color="auto"/>
      </w:divBdr>
    </w:div>
    <w:div w:id="1435981268">
      <w:bodyDiv w:val="1"/>
      <w:marLeft w:val="0"/>
      <w:marRight w:val="0"/>
      <w:marTop w:val="0"/>
      <w:marBottom w:val="0"/>
      <w:divBdr>
        <w:top w:val="none" w:sz="0" w:space="0" w:color="auto"/>
        <w:left w:val="none" w:sz="0" w:space="0" w:color="auto"/>
        <w:bottom w:val="none" w:sz="0" w:space="0" w:color="auto"/>
        <w:right w:val="none" w:sz="0" w:space="0" w:color="auto"/>
      </w:divBdr>
    </w:div>
    <w:div w:id="1447625631">
      <w:bodyDiv w:val="1"/>
      <w:marLeft w:val="0"/>
      <w:marRight w:val="0"/>
      <w:marTop w:val="0"/>
      <w:marBottom w:val="0"/>
      <w:divBdr>
        <w:top w:val="none" w:sz="0" w:space="0" w:color="auto"/>
        <w:left w:val="none" w:sz="0" w:space="0" w:color="auto"/>
        <w:bottom w:val="none" w:sz="0" w:space="0" w:color="auto"/>
        <w:right w:val="none" w:sz="0" w:space="0" w:color="auto"/>
      </w:divBdr>
    </w:div>
    <w:div w:id="1458644919">
      <w:bodyDiv w:val="1"/>
      <w:marLeft w:val="0"/>
      <w:marRight w:val="0"/>
      <w:marTop w:val="0"/>
      <w:marBottom w:val="0"/>
      <w:divBdr>
        <w:top w:val="none" w:sz="0" w:space="0" w:color="auto"/>
        <w:left w:val="none" w:sz="0" w:space="0" w:color="auto"/>
        <w:bottom w:val="none" w:sz="0" w:space="0" w:color="auto"/>
        <w:right w:val="none" w:sz="0" w:space="0" w:color="auto"/>
      </w:divBdr>
      <w:divsChild>
        <w:div w:id="12734524">
          <w:marLeft w:val="0"/>
          <w:marRight w:val="0"/>
          <w:marTop w:val="0"/>
          <w:marBottom w:val="0"/>
          <w:divBdr>
            <w:top w:val="none" w:sz="0" w:space="0" w:color="auto"/>
            <w:left w:val="none" w:sz="0" w:space="0" w:color="auto"/>
            <w:bottom w:val="none" w:sz="0" w:space="0" w:color="auto"/>
            <w:right w:val="none" w:sz="0" w:space="0" w:color="auto"/>
          </w:divBdr>
        </w:div>
        <w:div w:id="97214444">
          <w:marLeft w:val="0"/>
          <w:marRight w:val="0"/>
          <w:marTop w:val="0"/>
          <w:marBottom w:val="0"/>
          <w:divBdr>
            <w:top w:val="none" w:sz="0" w:space="0" w:color="auto"/>
            <w:left w:val="none" w:sz="0" w:space="0" w:color="auto"/>
            <w:bottom w:val="none" w:sz="0" w:space="0" w:color="auto"/>
            <w:right w:val="none" w:sz="0" w:space="0" w:color="auto"/>
          </w:divBdr>
        </w:div>
        <w:div w:id="458691917">
          <w:marLeft w:val="0"/>
          <w:marRight w:val="0"/>
          <w:marTop w:val="0"/>
          <w:marBottom w:val="0"/>
          <w:divBdr>
            <w:top w:val="none" w:sz="0" w:space="0" w:color="auto"/>
            <w:left w:val="none" w:sz="0" w:space="0" w:color="auto"/>
            <w:bottom w:val="none" w:sz="0" w:space="0" w:color="auto"/>
            <w:right w:val="none" w:sz="0" w:space="0" w:color="auto"/>
          </w:divBdr>
        </w:div>
        <w:div w:id="1021052188">
          <w:marLeft w:val="0"/>
          <w:marRight w:val="0"/>
          <w:marTop w:val="0"/>
          <w:marBottom w:val="0"/>
          <w:divBdr>
            <w:top w:val="none" w:sz="0" w:space="0" w:color="auto"/>
            <w:left w:val="none" w:sz="0" w:space="0" w:color="auto"/>
            <w:bottom w:val="none" w:sz="0" w:space="0" w:color="auto"/>
            <w:right w:val="none" w:sz="0" w:space="0" w:color="auto"/>
          </w:divBdr>
        </w:div>
        <w:div w:id="1092362822">
          <w:marLeft w:val="0"/>
          <w:marRight w:val="0"/>
          <w:marTop w:val="0"/>
          <w:marBottom w:val="0"/>
          <w:divBdr>
            <w:top w:val="none" w:sz="0" w:space="0" w:color="auto"/>
            <w:left w:val="none" w:sz="0" w:space="0" w:color="auto"/>
            <w:bottom w:val="none" w:sz="0" w:space="0" w:color="auto"/>
            <w:right w:val="none" w:sz="0" w:space="0" w:color="auto"/>
          </w:divBdr>
        </w:div>
        <w:div w:id="1731418314">
          <w:marLeft w:val="0"/>
          <w:marRight w:val="0"/>
          <w:marTop w:val="0"/>
          <w:marBottom w:val="0"/>
          <w:divBdr>
            <w:top w:val="none" w:sz="0" w:space="0" w:color="auto"/>
            <w:left w:val="none" w:sz="0" w:space="0" w:color="auto"/>
            <w:bottom w:val="none" w:sz="0" w:space="0" w:color="auto"/>
            <w:right w:val="none" w:sz="0" w:space="0" w:color="auto"/>
          </w:divBdr>
        </w:div>
        <w:div w:id="1990207710">
          <w:marLeft w:val="0"/>
          <w:marRight w:val="0"/>
          <w:marTop w:val="0"/>
          <w:marBottom w:val="0"/>
          <w:divBdr>
            <w:top w:val="none" w:sz="0" w:space="0" w:color="auto"/>
            <w:left w:val="none" w:sz="0" w:space="0" w:color="auto"/>
            <w:bottom w:val="none" w:sz="0" w:space="0" w:color="auto"/>
            <w:right w:val="none" w:sz="0" w:space="0" w:color="auto"/>
          </w:divBdr>
        </w:div>
        <w:div w:id="2012755752">
          <w:marLeft w:val="0"/>
          <w:marRight w:val="0"/>
          <w:marTop w:val="0"/>
          <w:marBottom w:val="0"/>
          <w:divBdr>
            <w:top w:val="none" w:sz="0" w:space="0" w:color="auto"/>
            <w:left w:val="none" w:sz="0" w:space="0" w:color="auto"/>
            <w:bottom w:val="none" w:sz="0" w:space="0" w:color="auto"/>
            <w:right w:val="none" w:sz="0" w:space="0" w:color="auto"/>
          </w:divBdr>
        </w:div>
        <w:div w:id="2038507507">
          <w:marLeft w:val="0"/>
          <w:marRight w:val="0"/>
          <w:marTop w:val="0"/>
          <w:marBottom w:val="0"/>
          <w:divBdr>
            <w:top w:val="none" w:sz="0" w:space="0" w:color="auto"/>
            <w:left w:val="none" w:sz="0" w:space="0" w:color="auto"/>
            <w:bottom w:val="none" w:sz="0" w:space="0" w:color="auto"/>
            <w:right w:val="none" w:sz="0" w:space="0" w:color="auto"/>
          </w:divBdr>
        </w:div>
      </w:divsChild>
    </w:div>
    <w:div w:id="1459881592">
      <w:bodyDiv w:val="1"/>
      <w:marLeft w:val="0"/>
      <w:marRight w:val="0"/>
      <w:marTop w:val="0"/>
      <w:marBottom w:val="0"/>
      <w:divBdr>
        <w:top w:val="none" w:sz="0" w:space="0" w:color="auto"/>
        <w:left w:val="none" w:sz="0" w:space="0" w:color="auto"/>
        <w:bottom w:val="none" w:sz="0" w:space="0" w:color="auto"/>
        <w:right w:val="none" w:sz="0" w:space="0" w:color="auto"/>
      </w:divBdr>
    </w:div>
    <w:div w:id="1467165966">
      <w:bodyDiv w:val="1"/>
      <w:marLeft w:val="0"/>
      <w:marRight w:val="0"/>
      <w:marTop w:val="0"/>
      <w:marBottom w:val="0"/>
      <w:divBdr>
        <w:top w:val="none" w:sz="0" w:space="0" w:color="auto"/>
        <w:left w:val="none" w:sz="0" w:space="0" w:color="auto"/>
        <w:bottom w:val="none" w:sz="0" w:space="0" w:color="auto"/>
        <w:right w:val="none" w:sz="0" w:space="0" w:color="auto"/>
      </w:divBdr>
      <w:divsChild>
        <w:div w:id="238828561">
          <w:marLeft w:val="418"/>
          <w:marRight w:val="0"/>
          <w:marTop w:val="120"/>
          <w:marBottom w:val="0"/>
          <w:divBdr>
            <w:top w:val="none" w:sz="0" w:space="0" w:color="auto"/>
            <w:left w:val="none" w:sz="0" w:space="0" w:color="auto"/>
            <w:bottom w:val="none" w:sz="0" w:space="0" w:color="auto"/>
            <w:right w:val="none" w:sz="0" w:space="0" w:color="auto"/>
          </w:divBdr>
        </w:div>
        <w:div w:id="646396901">
          <w:marLeft w:val="418"/>
          <w:marRight w:val="0"/>
          <w:marTop w:val="120"/>
          <w:marBottom w:val="0"/>
          <w:divBdr>
            <w:top w:val="none" w:sz="0" w:space="0" w:color="auto"/>
            <w:left w:val="none" w:sz="0" w:space="0" w:color="auto"/>
            <w:bottom w:val="none" w:sz="0" w:space="0" w:color="auto"/>
            <w:right w:val="none" w:sz="0" w:space="0" w:color="auto"/>
          </w:divBdr>
        </w:div>
      </w:divsChild>
    </w:div>
    <w:div w:id="1512988264">
      <w:bodyDiv w:val="1"/>
      <w:marLeft w:val="0"/>
      <w:marRight w:val="0"/>
      <w:marTop w:val="0"/>
      <w:marBottom w:val="0"/>
      <w:divBdr>
        <w:top w:val="none" w:sz="0" w:space="0" w:color="auto"/>
        <w:left w:val="none" w:sz="0" w:space="0" w:color="auto"/>
        <w:bottom w:val="none" w:sz="0" w:space="0" w:color="auto"/>
        <w:right w:val="none" w:sz="0" w:space="0" w:color="auto"/>
      </w:divBdr>
    </w:div>
    <w:div w:id="1547831683">
      <w:bodyDiv w:val="1"/>
      <w:marLeft w:val="0"/>
      <w:marRight w:val="0"/>
      <w:marTop w:val="0"/>
      <w:marBottom w:val="0"/>
      <w:divBdr>
        <w:top w:val="none" w:sz="0" w:space="0" w:color="auto"/>
        <w:left w:val="none" w:sz="0" w:space="0" w:color="auto"/>
        <w:bottom w:val="none" w:sz="0" w:space="0" w:color="auto"/>
        <w:right w:val="none" w:sz="0" w:space="0" w:color="auto"/>
      </w:divBdr>
    </w:div>
    <w:div w:id="1590043604">
      <w:bodyDiv w:val="1"/>
      <w:marLeft w:val="0"/>
      <w:marRight w:val="0"/>
      <w:marTop w:val="0"/>
      <w:marBottom w:val="0"/>
      <w:divBdr>
        <w:top w:val="none" w:sz="0" w:space="0" w:color="auto"/>
        <w:left w:val="none" w:sz="0" w:space="0" w:color="auto"/>
        <w:bottom w:val="none" w:sz="0" w:space="0" w:color="auto"/>
        <w:right w:val="none" w:sz="0" w:space="0" w:color="auto"/>
      </w:divBdr>
      <w:divsChild>
        <w:div w:id="143470837">
          <w:marLeft w:val="0"/>
          <w:marRight w:val="0"/>
          <w:marTop w:val="0"/>
          <w:marBottom w:val="0"/>
          <w:divBdr>
            <w:top w:val="none" w:sz="0" w:space="0" w:color="auto"/>
            <w:left w:val="none" w:sz="0" w:space="0" w:color="auto"/>
            <w:bottom w:val="none" w:sz="0" w:space="0" w:color="auto"/>
            <w:right w:val="none" w:sz="0" w:space="0" w:color="auto"/>
          </w:divBdr>
        </w:div>
        <w:div w:id="344286523">
          <w:marLeft w:val="0"/>
          <w:marRight w:val="0"/>
          <w:marTop w:val="0"/>
          <w:marBottom w:val="0"/>
          <w:divBdr>
            <w:top w:val="none" w:sz="0" w:space="0" w:color="auto"/>
            <w:left w:val="none" w:sz="0" w:space="0" w:color="auto"/>
            <w:bottom w:val="none" w:sz="0" w:space="0" w:color="auto"/>
            <w:right w:val="none" w:sz="0" w:space="0" w:color="auto"/>
          </w:divBdr>
        </w:div>
        <w:div w:id="1103378839">
          <w:marLeft w:val="0"/>
          <w:marRight w:val="0"/>
          <w:marTop w:val="0"/>
          <w:marBottom w:val="0"/>
          <w:divBdr>
            <w:top w:val="none" w:sz="0" w:space="0" w:color="auto"/>
            <w:left w:val="none" w:sz="0" w:space="0" w:color="auto"/>
            <w:bottom w:val="none" w:sz="0" w:space="0" w:color="auto"/>
            <w:right w:val="none" w:sz="0" w:space="0" w:color="auto"/>
          </w:divBdr>
        </w:div>
        <w:div w:id="1147623766">
          <w:marLeft w:val="0"/>
          <w:marRight w:val="0"/>
          <w:marTop w:val="0"/>
          <w:marBottom w:val="0"/>
          <w:divBdr>
            <w:top w:val="none" w:sz="0" w:space="0" w:color="auto"/>
            <w:left w:val="none" w:sz="0" w:space="0" w:color="auto"/>
            <w:bottom w:val="none" w:sz="0" w:space="0" w:color="auto"/>
            <w:right w:val="none" w:sz="0" w:space="0" w:color="auto"/>
          </w:divBdr>
        </w:div>
        <w:div w:id="1529873956">
          <w:marLeft w:val="0"/>
          <w:marRight w:val="0"/>
          <w:marTop w:val="0"/>
          <w:marBottom w:val="0"/>
          <w:divBdr>
            <w:top w:val="none" w:sz="0" w:space="0" w:color="auto"/>
            <w:left w:val="none" w:sz="0" w:space="0" w:color="auto"/>
            <w:bottom w:val="none" w:sz="0" w:space="0" w:color="auto"/>
            <w:right w:val="none" w:sz="0" w:space="0" w:color="auto"/>
          </w:divBdr>
        </w:div>
      </w:divsChild>
    </w:div>
    <w:div w:id="1593973524">
      <w:bodyDiv w:val="1"/>
      <w:marLeft w:val="0"/>
      <w:marRight w:val="0"/>
      <w:marTop w:val="0"/>
      <w:marBottom w:val="0"/>
      <w:divBdr>
        <w:top w:val="none" w:sz="0" w:space="0" w:color="auto"/>
        <w:left w:val="none" w:sz="0" w:space="0" w:color="auto"/>
        <w:bottom w:val="none" w:sz="0" w:space="0" w:color="auto"/>
        <w:right w:val="none" w:sz="0" w:space="0" w:color="auto"/>
      </w:divBdr>
      <w:divsChild>
        <w:div w:id="1108308305">
          <w:marLeft w:val="0"/>
          <w:marRight w:val="0"/>
          <w:marTop w:val="0"/>
          <w:marBottom w:val="0"/>
          <w:divBdr>
            <w:top w:val="none" w:sz="0" w:space="0" w:color="auto"/>
            <w:left w:val="none" w:sz="0" w:space="0" w:color="auto"/>
            <w:bottom w:val="none" w:sz="0" w:space="0" w:color="auto"/>
            <w:right w:val="none" w:sz="0" w:space="0" w:color="auto"/>
          </w:divBdr>
        </w:div>
        <w:div w:id="1731465747">
          <w:marLeft w:val="0"/>
          <w:marRight w:val="0"/>
          <w:marTop w:val="0"/>
          <w:marBottom w:val="0"/>
          <w:divBdr>
            <w:top w:val="none" w:sz="0" w:space="0" w:color="auto"/>
            <w:left w:val="none" w:sz="0" w:space="0" w:color="auto"/>
            <w:bottom w:val="none" w:sz="0" w:space="0" w:color="auto"/>
            <w:right w:val="none" w:sz="0" w:space="0" w:color="auto"/>
          </w:divBdr>
        </w:div>
      </w:divsChild>
    </w:div>
    <w:div w:id="1594776812">
      <w:bodyDiv w:val="1"/>
      <w:marLeft w:val="0"/>
      <w:marRight w:val="0"/>
      <w:marTop w:val="0"/>
      <w:marBottom w:val="0"/>
      <w:divBdr>
        <w:top w:val="none" w:sz="0" w:space="0" w:color="auto"/>
        <w:left w:val="none" w:sz="0" w:space="0" w:color="auto"/>
        <w:bottom w:val="none" w:sz="0" w:space="0" w:color="auto"/>
        <w:right w:val="none" w:sz="0" w:space="0" w:color="auto"/>
      </w:divBdr>
    </w:div>
    <w:div w:id="1608846458">
      <w:bodyDiv w:val="1"/>
      <w:marLeft w:val="0"/>
      <w:marRight w:val="0"/>
      <w:marTop w:val="0"/>
      <w:marBottom w:val="0"/>
      <w:divBdr>
        <w:top w:val="none" w:sz="0" w:space="0" w:color="auto"/>
        <w:left w:val="none" w:sz="0" w:space="0" w:color="auto"/>
        <w:bottom w:val="none" w:sz="0" w:space="0" w:color="auto"/>
        <w:right w:val="none" w:sz="0" w:space="0" w:color="auto"/>
      </w:divBdr>
      <w:divsChild>
        <w:div w:id="124662516">
          <w:marLeft w:val="547"/>
          <w:marRight w:val="0"/>
          <w:marTop w:val="0"/>
          <w:marBottom w:val="0"/>
          <w:divBdr>
            <w:top w:val="none" w:sz="0" w:space="0" w:color="auto"/>
            <w:left w:val="none" w:sz="0" w:space="0" w:color="auto"/>
            <w:bottom w:val="none" w:sz="0" w:space="0" w:color="auto"/>
            <w:right w:val="none" w:sz="0" w:space="0" w:color="auto"/>
          </w:divBdr>
        </w:div>
      </w:divsChild>
    </w:div>
    <w:div w:id="1610502085">
      <w:bodyDiv w:val="1"/>
      <w:marLeft w:val="0"/>
      <w:marRight w:val="0"/>
      <w:marTop w:val="0"/>
      <w:marBottom w:val="0"/>
      <w:divBdr>
        <w:top w:val="none" w:sz="0" w:space="0" w:color="auto"/>
        <w:left w:val="none" w:sz="0" w:space="0" w:color="auto"/>
        <w:bottom w:val="none" w:sz="0" w:space="0" w:color="auto"/>
        <w:right w:val="none" w:sz="0" w:space="0" w:color="auto"/>
      </w:divBdr>
    </w:div>
    <w:div w:id="1615747037">
      <w:bodyDiv w:val="1"/>
      <w:marLeft w:val="0"/>
      <w:marRight w:val="0"/>
      <w:marTop w:val="0"/>
      <w:marBottom w:val="0"/>
      <w:divBdr>
        <w:top w:val="none" w:sz="0" w:space="0" w:color="auto"/>
        <w:left w:val="none" w:sz="0" w:space="0" w:color="auto"/>
        <w:bottom w:val="none" w:sz="0" w:space="0" w:color="auto"/>
        <w:right w:val="none" w:sz="0" w:space="0" w:color="auto"/>
      </w:divBdr>
      <w:divsChild>
        <w:div w:id="248738536">
          <w:marLeft w:val="965"/>
          <w:marRight w:val="0"/>
          <w:marTop w:val="96"/>
          <w:marBottom w:val="0"/>
          <w:divBdr>
            <w:top w:val="none" w:sz="0" w:space="0" w:color="auto"/>
            <w:left w:val="none" w:sz="0" w:space="0" w:color="auto"/>
            <w:bottom w:val="none" w:sz="0" w:space="0" w:color="auto"/>
            <w:right w:val="none" w:sz="0" w:space="0" w:color="auto"/>
          </w:divBdr>
        </w:div>
      </w:divsChild>
    </w:div>
    <w:div w:id="1615748005">
      <w:bodyDiv w:val="1"/>
      <w:marLeft w:val="0"/>
      <w:marRight w:val="0"/>
      <w:marTop w:val="0"/>
      <w:marBottom w:val="0"/>
      <w:divBdr>
        <w:top w:val="none" w:sz="0" w:space="0" w:color="auto"/>
        <w:left w:val="none" w:sz="0" w:space="0" w:color="auto"/>
        <w:bottom w:val="none" w:sz="0" w:space="0" w:color="auto"/>
        <w:right w:val="none" w:sz="0" w:space="0" w:color="auto"/>
      </w:divBdr>
    </w:div>
    <w:div w:id="1618482766">
      <w:bodyDiv w:val="1"/>
      <w:marLeft w:val="0"/>
      <w:marRight w:val="0"/>
      <w:marTop w:val="0"/>
      <w:marBottom w:val="0"/>
      <w:divBdr>
        <w:top w:val="none" w:sz="0" w:space="0" w:color="auto"/>
        <w:left w:val="none" w:sz="0" w:space="0" w:color="auto"/>
        <w:bottom w:val="none" w:sz="0" w:space="0" w:color="auto"/>
        <w:right w:val="none" w:sz="0" w:space="0" w:color="auto"/>
      </w:divBdr>
      <w:divsChild>
        <w:div w:id="357705353">
          <w:marLeft w:val="0"/>
          <w:marRight w:val="0"/>
          <w:marTop w:val="0"/>
          <w:marBottom w:val="0"/>
          <w:divBdr>
            <w:top w:val="none" w:sz="0" w:space="0" w:color="auto"/>
            <w:left w:val="none" w:sz="0" w:space="0" w:color="auto"/>
            <w:bottom w:val="none" w:sz="0" w:space="0" w:color="auto"/>
            <w:right w:val="none" w:sz="0" w:space="0" w:color="auto"/>
          </w:divBdr>
        </w:div>
        <w:div w:id="446776626">
          <w:marLeft w:val="0"/>
          <w:marRight w:val="0"/>
          <w:marTop w:val="0"/>
          <w:marBottom w:val="0"/>
          <w:divBdr>
            <w:top w:val="none" w:sz="0" w:space="0" w:color="auto"/>
            <w:left w:val="none" w:sz="0" w:space="0" w:color="auto"/>
            <w:bottom w:val="none" w:sz="0" w:space="0" w:color="auto"/>
            <w:right w:val="none" w:sz="0" w:space="0" w:color="auto"/>
          </w:divBdr>
        </w:div>
        <w:div w:id="570695906">
          <w:marLeft w:val="0"/>
          <w:marRight w:val="0"/>
          <w:marTop w:val="0"/>
          <w:marBottom w:val="0"/>
          <w:divBdr>
            <w:top w:val="none" w:sz="0" w:space="0" w:color="auto"/>
            <w:left w:val="none" w:sz="0" w:space="0" w:color="auto"/>
            <w:bottom w:val="none" w:sz="0" w:space="0" w:color="auto"/>
            <w:right w:val="none" w:sz="0" w:space="0" w:color="auto"/>
          </w:divBdr>
        </w:div>
        <w:div w:id="885260600">
          <w:marLeft w:val="0"/>
          <w:marRight w:val="0"/>
          <w:marTop w:val="0"/>
          <w:marBottom w:val="0"/>
          <w:divBdr>
            <w:top w:val="none" w:sz="0" w:space="0" w:color="auto"/>
            <w:left w:val="none" w:sz="0" w:space="0" w:color="auto"/>
            <w:bottom w:val="none" w:sz="0" w:space="0" w:color="auto"/>
            <w:right w:val="none" w:sz="0" w:space="0" w:color="auto"/>
          </w:divBdr>
        </w:div>
        <w:div w:id="1374689808">
          <w:marLeft w:val="0"/>
          <w:marRight w:val="0"/>
          <w:marTop w:val="0"/>
          <w:marBottom w:val="0"/>
          <w:divBdr>
            <w:top w:val="none" w:sz="0" w:space="0" w:color="auto"/>
            <w:left w:val="none" w:sz="0" w:space="0" w:color="auto"/>
            <w:bottom w:val="none" w:sz="0" w:space="0" w:color="auto"/>
            <w:right w:val="none" w:sz="0" w:space="0" w:color="auto"/>
          </w:divBdr>
        </w:div>
        <w:div w:id="1470199004">
          <w:marLeft w:val="0"/>
          <w:marRight w:val="0"/>
          <w:marTop w:val="0"/>
          <w:marBottom w:val="0"/>
          <w:divBdr>
            <w:top w:val="none" w:sz="0" w:space="0" w:color="auto"/>
            <w:left w:val="none" w:sz="0" w:space="0" w:color="auto"/>
            <w:bottom w:val="none" w:sz="0" w:space="0" w:color="auto"/>
            <w:right w:val="none" w:sz="0" w:space="0" w:color="auto"/>
          </w:divBdr>
        </w:div>
      </w:divsChild>
    </w:div>
    <w:div w:id="1623727273">
      <w:bodyDiv w:val="1"/>
      <w:marLeft w:val="0"/>
      <w:marRight w:val="0"/>
      <w:marTop w:val="0"/>
      <w:marBottom w:val="0"/>
      <w:divBdr>
        <w:top w:val="none" w:sz="0" w:space="0" w:color="auto"/>
        <w:left w:val="none" w:sz="0" w:space="0" w:color="auto"/>
        <w:bottom w:val="none" w:sz="0" w:space="0" w:color="auto"/>
        <w:right w:val="none" w:sz="0" w:space="0" w:color="auto"/>
      </w:divBdr>
      <w:divsChild>
        <w:div w:id="2119063027">
          <w:marLeft w:val="965"/>
          <w:marRight w:val="0"/>
          <w:marTop w:val="77"/>
          <w:marBottom w:val="0"/>
          <w:divBdr>
            <w:top w:val="none" w:sz="0" w:space="0" w:color="auto"/>
            <w:left w:val="none" w:sz="0" w:space="0" w:color="auto"/>
            <w:bottom w:val="none" w:sz="0" w:space="0" w:color="auto"/>
            <w:right w:val="none" w:sz="0" w:space="0" w:color="auto"/>
          </w:divBdr>
        </w:div>
      </w:divsChild>
    </w:div>
    <w:div w:id="1659457987">
      <w:bodyDiv w:val="1"/>
      <w:marLeft w:val="0"/>
      <w:marRight w:val="0"/>
      <w:marTop w:val="0"/>
      <w:marBottom w:val="0"/>
      <w:divBdr>
        <w:top w:val="none" w:sz="0" w:space="0" w:color="auto"/>
        <w:left w:val="none" w:sz="0" w:space="0" w:color="auto"/>
        <w:bottom w:val="none" w:sz="0" w:space="0" w:color="auto"/>
        <w:right w:val="none" w:sz="0" w:space="0" w:color="auto"/>
      </w:divBdr>
    </w:div>
    <w:div w:id="1678115989">
      <w:bodyDiv w:val="1"/>
      <w:marLeft w:val="0"/>
      <w:marRight w:val="0"/>
      <w:marTop w:val="0"/>
      <w:marBottom w:val="0"/>
      <w:divBdr>
        <w:top w:val="none" w:sz="0" w:space="0" w:color="auto"/>
        <w:left w:val="none" w:sz="0" w:space="0" w:color="auto"/>
        <w:bottom w:val="none" w:sz="0" w:space="0" w:color="auto"/>
        <w:right w:val="none" w:sz="0" w:space="0" w:color="auto"/>
      </w:divBdr>
      <w:divsChild>
        <w:div w:id="232398729">
          <w:marLeft w:val="720"/>
          <w:marRight w:val="0"/>
          <w:marTop w:val="0"/>
          <w:marBottom w:val="0"/>
          <w:divBdr>
            <w:top w:val="none" w:sz="0" w:space="0" w:color="auto"/>
            <w:left w:val="none" w:sz="0" w:space="0" w:color="auto"/>
            <w:bottom w:val="none" w:sz="0" w:space="0" w:color="auto"/>
            <w:right w:val="none" w:sz="0" w:space="0" w:color="auto"/>
          </w:divBdr>
        </w:div>
        <w:div w:id="1213275647">
          <w:marLeft w:val="720"/>
          <w:marRight w:val="0"/>
          <w:marTop w:val="0"/>
          <w:marBottom w:val="0"/>
          <w:divBdr>
            <w:top w:val="none" w:sz="0" w:space="0" w:color="auto"/>
            <w:left w:val="none" w:sz="0" w:space="0" w:color="auto"/>
            <w:bottom w:val="none" w:sz="0" w:space="0" w:color="auto"/>
            <w:right w:val="none" w:sz="0" w:space="0" w:color="auto"/>
          </w:divBdr>
        </w:div>
        <w:div w:id="1358046271">
          <w:marLeft w:val="720"/>
          <w:marRight w:val="0"/>
          <w:marTop w:val="0"/>
          <w:marBottom w:val="0"/>
          <w:divBdr>
            <w:top w:val="none" w:sz="0" w:space="0" w:color="auto"/>
            <w:left w:val="none" w:sz="0" w:space="0" w:color="auto"/>
            <w:bottom w:val="none" w:sz="0" w:space="0" w:color="auto"/>
            <w:right w:val="none" w:sz="0" w:space="0" w:color="auto"/>
          </w:divBdr>
        </w:div>
        <w:div w:id="1160774552">
          <w:marLeft w:val="720"/>
          <w:marRight w:val="0"/>
          <w:marTop w:val="0"/>
          <w:marBottom w:val="0"/>
          <w:divBdr>
            <w:top w:val="none" w:sz="0" w:space="0" w:color="auto"/>
            <w:left w:val="none" w:sz="0" w:space="0" w:color="auto"/>
            <w:bottom w:val="none" w:sz="0" w:space="0" w:color="auto"/>
            <w:right w:val="none" w:sz="0" w:space="0" w:color="auto"/>
          </w:divBdr>
        </w:div>
      </w:divsChild>
    </w:div>
    <w:div w:id="1681279232">
      <w:bodyDiv w:val="1"/>
      <w:marLeft w:val="0"/>
      <w:marRight w:val="0"/>
      <w:marTop w:val="0"/>
      <w:marBottom w:val="0"/>
      <w:divBdr>
        <w:top w:val="none" w:sz="0" w:space="0" w:color="auto"/>
        <w:left w:val="none" w:sz="0" w:space="0" w:color="auto"/>
        <w:bottom w:val="none" w:sz="0" w:space="0" w:color="auto"/>
        <w:right w:val="none" w:sz="0" w:space="0" w:color="auto"/>
      </w:divBdr>
    </w:div>
    <w:div w:id="1691637396">
      <w:bodyDiv w:val="1"/>
      <w:marLeft w:val="0"/>
      <w:marRight w:val="0"/>
      <w:marTop w:val="0"/>
      <w:marBottom w:val="0"/>
      <w:divBdr>
        <w:top w:val="none" w:sz="0" w:space="0" w:color="auto"/>
        <w:left w:val="none" w:sz="0" w:space="0" w:color="auto"/>
        <w:bottom w:val="none" w:sz="0" w:space="0" w:color="auto"/>
        <w:right w:val="none" w:sz="0" w:space="0" w:color="auto"/>
      </w:divBdr>
      <w:divsChild>
        <w:div w:id="1841769094">
          <w:marLeft w:val="965"/>
          <w:marRight w:val="0"/>
          <w:marTop w:val="77"/>
          <w:marBottom w:val="0"/>
          <w:divBdr>
            <w:top w:val="none" w:sz="0" w:space="0" w:color="auto"/>
            <w:left w:val="none" w:sz="0" w:space="0" w:color="auto"/>
            <w:bottom w:val="none" w:sz="0" w:space="0" w:color="auto"/>
            <w:right w:val="none" w:sz="0" w:space="0" w:color="auto"/>
          </w:divBdr>
        </w:div>
      </w:divsChild>
    </w:div>
    <w:div w:id="1693725076">
      <w:bodyDiv w:val="1"/>
      <w:marLeft w:val="0"/>
      <w:marRight w:val="0"/>
      <w:marTop w:val="0"/>
      <w:marBottom w:val="0"/>
      <w:divBdr>
        <w:top w:val="none" w:sz="0" w:space="0" w:color="auto"/>
        <w:left w:val="none" w:sz="0" w:space="0" w:color="auto"/>
        <w:bottom w:val="none" w:sz="0" w:space="0" w:color="auto"/>
        <w:right w:val="none" w:sz="0" w:space="0" w:color="auto"/>
      </w:divBdr>
    </w:div>
    <w:div w:id="1702824222">
      <w:bodyDiv w:val="1"/>
      <w:marLeft w:val="0"/>
      <w:marRight w:val="0"/>
      <w:marTop w:val="0"/>
      <w:marBottom w:val="0"/>
      <w:divBdr>
        <w:top w:val="none" w:sz="0" w:space="0" w:color="auto"/>
        <w:left w:val="none" w:sz="0" w:space="0" w:color="auto"/>
        <w:bottom w:val="none" w:sz="0" w:space="0" w:color="auto"/>
        <w:right w:val="none" w:sz="0" w:space="0" w:color="auto"/>
      </w:divBdr>
    </w:div>
    <w:div w:id="1767581931">
      <w:bodyDiv w:val="1"/>
      <w:marLeft w:val="0"/>
      <w:marRight w:val="0"/>
      <w:marTop w:val="0"/>
      <w:marBottom w:val="0"/>
      <w:divBdr>
        <w:top w:val="none" w:sz="0" w:space="0" w:color="auto"/>
        <w:left w:val="none" w:sz="0" w:space="0" w:color="auto"/>
        <w:bottom w:val="none" w:sz="0" w:space="0" w:color="auto"/>
        <w:right w:val="none" w:sz="0" w:space="0" w:color="auto"/>
      </w:divBdr>
    </w:div>
    <w:div w:id="1779789806">
      <w:bodyDiv w:val="1"/>
      <w:marLeft w:val="0"/>
      <w:marRight w:val="0"/>
      <w:marTop w:val="0"/>
      <w:marBottom w:val="0"/>
      <w:divBdr>
        <w:top w:val="none" w:sz="0" w:space="0" w:color="auto"/>
        <w:left w:val="none" w:sz="0" w:space="0" w:color="auto"/>
        <w:bottom w:val="none" w:sz="0" w:space="0" w:color="auto"/>
        <w:right w:val="none" w:sz="0" w:space="0" w:color="auto"/>
      </w:divBdr>
      <w:divsChild>
        <w:div w:id="352850027">
          <w:marLeft w:val="0"/>
          <w:marRight w:val="0"/>
          <w:marTop w:val="0"/>
          <w:marBottom w:val="0"/>
          <w:divBdr>
            <w:top w:val="none" w:sz="0" w:space="0" w:color="auto"/>
            <w:left w:val="none" w:sz="0" w:space="0" w:color="auto"/>
            <w:bottom w:val="none" w:sz="0" w:space="0" w:color="auto"/>
            <w:right w:val="none" w:sz="0" w:space="0" w:color="auto"/>
          </w:divBdr>
        </w:div>
        <w:div w:id="877860702">
          <w:marLeft w:val="0"/>
          <w:marRight w:val="0"/>
          <w:marTop w:val="0"/>
          <w:marBottom w:val="0"/>
          <w:divBdr>
            <w:top w:val="none" w:sz="0" w:space="0" w:color="auto"/>
            <w:left w:val="none" w:sz="0" w:space="0" w:color="auto"/>
            <w:bottom w:val="none" w:sz="0" w:space="0" w:color="auto"/>
            <w:right w:val="none" w:sz="0" w:space="0" w:color="auto"/>
          </w:divBdr>
        </w:div>
        <w:div w:id="1463621265">
          <w:marLeft w:val="0"/>
          <w:marRight w:val="0"/>
          <w:marTop w:val="0"/>
          <w:marBottom w:val="0"/>
          <w:divBdr>
            <w:top w:val="none" w:sz="0" w:space="0" w:color="auto"/>
            <w:left w:val="none" w:sz="0" w:space="0" w:color="auto"/>
            <w:bottom w:val="none" w:sz="0" w:space="0" w:color="auto"/>
            <w:right w:val="none" w:sz="0" w:space="0" w:color="auto"/>
          </w:divBdr>
        </w:div>
        <w:div w:id="1587569326">
          <w:marLeft w:val="0"/>
          <w:marRight w:val="0"/>
          <w:marTop w:val="0"/>
          <w:marBottom w:val="0"/>
          <w:divBdr>
            <w:top w:val="none" w:sz="0" w:space="0" w:color="auto"/>
            <w:left w:val="none" w:sz="0" w:space="0" w:color="auto"/>
            <w:bottom w:val="none" w:sz="0" w:space="0" w:color="auto"/>
            <w:right w:val="none" w:sz="0" w:space="0" w:color="auto"/>
          </w:divBdr>
        </w:div>
        <w:div w:id="1898277636">
          <w:marLeft w:val="0"/>
          <w:marRight w:val="0"/>
          <w:marTop w:val="0"/>
          <w:marBottom w:val="0"/>
          <w:divBdr>
            <w:top w:val="none" w:sz="0" w:space="0" w:color="auto"/>
            <w:left w:val="none" w:sz="0" w:space="0" w:color="auto"/>
            <w:bottom w:val="none" w:sz="0" w:space="0" w:color="auto"/>
            <w:right w:val="none" w:sz="0" w:space="0" w:color="auto"/>
          </w:divBdr>
        </w:div>
        <w:div w:id="2083216580">
          <w:marLeft w:val="0"/>
          <w:marRight w:val="0"/>
          <w:marTop w:val="0"/>
          <w:marBottom w:val="0"/>
          <w:divBdr>
            <w:top w:val="none" w:sz="0" w:space="0" w:color="auto"/>
            <w:left w:val="none" w:sz="0" w:space="0" w:color="auto"/>
            <w:bottom w:val="none" w:sz="0" w:space="0" w:color="auto"/>
            <w:right w:val="none" w:sz="0" w:space="0" w:color="auto"/>
          </w:divBdr>
        </w:div>
      </w:divsChild>
    </w:div>
    <w:div w:id="1822498458">
      <w:bodyDiv w:val="1"/>
      <w:marLeft w:val="0"/>
      <w:marRight w:val="0"/>
      <w:marTop w:val="0"/>
      <w:marBottom w:val="0"/>
      <w:divBdr>
        <w:top w:val="none" w:sz="0" w:space="0" w:color="auto"/>
        <w:left w:val="none" w:sz="0" w:space="0" w:color="auto"/>
        <w:bottom w:val="none" w:sz="0" w:space="0" w:color="auto"/>
        <w:right w:val="none" w:sz="0" w:space="0" w:color="auto"/>
      </w:divBdr>
      <w:divsChild>
        <w:div w:id="85856743">
          <w:marLeft w:val="0"/>
          <w:marRight w:val="0"/>
          <w:marTop w:val="0"/>
          <w:marBottom w:val="0"/>
          <w:divBdr>
            <w:top w:val="none" w:sz="0" w:space="0" w:color="auto"/>
            <w:left w:val="none" w:sz="0" w:space="0" w:color="auto"/>
            <w:bottom w:val="none" w:sz="0" w:space="0" w:color="auto"/>
            <w:right w:val="none" w:sz="0" w:space="0" w:color="auto"/>
          </w:divBdr>
        </w:div>
        <w:div w:id="162668121">
          <w:marLeft w:val="0"/>
          <w:marRight w:val="0"/>
          <w:marTop w:val="0"/>
          <w:marBottom w:val="0"/>
          <w:divBdr>
            <w:top w:val="none" w:sz="0" w:space="0" w:color="auto"/>
            <w:left w:val="none" w:sz="0" w:space="0" w:color="auto"/>
            <w:bottom w:val="none" w:sz="0" w:space="0" w:color="auto"/>
            <w:right w:val="none" w:sz="0" w:space="0" w:color="auto"/>
          </w:divBdr>
        </w:div>
        <w:div w:id="908224466">
          <w:marLeft w:val="0"/>
          <w:marRight w:val="0"/>
          <w:marTop w:val="0"/>
          <w:marBottom w:val="0"/>
          <w:divBdr>
            <w:top w:val="none" w:sz="0" w:space="0" w:color="auto"/>
            <w:left w:val="none" w:sz="0" w:space="0" w:color="auto"/>
            <w:bottom w:val="none" w:sz="0" w:space="0" w:color="auto"/>
            <w:right w:val="none" w:sz="0" w:space="0" w:color="auto"/>
          </w:divBdr>
        </w:div>
        <w:div w:id="1543903440">
          <w:marLeft w:val="0"/>
          <w:marRight w:val="0"/>
          <w:marTop w:val="0"/>
          <w:marBottom w:val="0"/>
          <w:divBdr>
            <w:top w:val="none" w:sz="0" w:space="0" w:color="auto"/>
            <w:left w:val="none" w:sz="0" w:space="0" w:color="auto"/>
            <w:bottom w:val="none" w:sz="0" w:space="0" w:color="auto"/>
            <w:right w:val="none" w:sz="0" w:space="0" w:color="auto"/>
          </w:divBdr>
        </w:div>
        <w:div w:id="1600068151">
          <w:marLeft w:val="0"/>
          <w:marRight w:val="0"/>
          <w:marTop w:val="0"/>
          <w:marBottom w:val="0"/>
          <w:divBdr>
            <w:top w:val="none" w:sz="0" w:space="0" w:color="auto"/>
            <w:left w:val="none" w:sz="0" w:space="0" w:color="auto"/>
            <w:bottom w:val="none" w:sz="0" w:space="0" w:color="auto"/>
            <w:right w:val="none" w:sz="0" w:space="0" w:color="auto"/>
          </w:divBdr>
        </w:div>
        <w:div w:id="1863743540">
          <w:marLeft w:val="0"/>
          <w:marRight w:val="0"/>
          <w:marTop w:val="0"/>
          <w:marBottom w:val="0"/>
          <w:divBdr>
            <w:top w:val="none" w:sz="0" w:space="0" w:color="auto"/>
            <w:left w:val="none" w:sz="0" w:space="0" w:color="auto"/>
            <w:bottom w:val="none" w:sz="0" w:space="0" w:color="auto"/>
            <w:right w:val="none" w:sz="0" w:space="0" w:color="auto"/>
          </w:divBdr>
        </w:div>
        <w:div w:id="2074036452">
          <w:marLeft w:val="0"/>
          <w:marRight w:val="0"/>
          <w:marTop w:val="0"/>
          <w:marBottom w:val="0"/>
          <w:divBdr>
            <w:top w:val="none" w:sz="0" w:space="0" w:color="auto"/>
            <w:left w:val="none" w:sz="0" w:space="0" w:color="auto"/>
            <w:bottom w:val="none" w:sz="0" w:space="0" w:color="auto"/>
            <w:right w:val="none" w:sz="0" w:space="0" w:color="auto"/>
          </w:divBdr>
        </w:div>
        <w:div w:id="2084837378">
          <w:marLeft w:val="0"/>
          <w:marRight w:val="0"/>
          <w:marTop w:val="0"/>
          <w:marBottom w:val="0"/>
          <w:divBdr>
            <w:top w:val="none" w:sz="0" w:space="0" w:color="auto"/>
            <w:left w:val="none" w:sz="0" w:space="0" w:color="auto"/>
            <w:bottom w:val="none" w:sz="0" w:space="0" w:color="auto"/>
            <w:right w:val="none" w:sz="0" w:space="0" w:color="auto"/>
          </w:divBdr>
        </w:div>
      </w:divsChild>
    </w:div>
    <w:div w:id="1832137398">
      <w:bodyDiv w:val="1"/>
      <w:marLeft w:val="0"/>
      <w:marRight w:val="0"/>
      <w:marTop w:val="0"/>
      <w:marBottom w:val="0"/>
      <w:divBdr>
        <w:top w:val="none" w:sz="0" w:space="0" w:color="auto"/>
        <w:left w:val="none" w:sz="0" w:space="0" w:color="auto"/>
        <w:bottom w:val="none" w:sz="0" w:space="0" w:color="auto"/>
        <w:right w:val="none" w:sz="0" w:space="0" w:color="auto"/>
      </w:divBdr>
    </w:div>
    <w:div w:id="1895852532">
      <w:bodyDiv w:val="1"/>
      <w:marLeft w:val="0"/>
      <w:marRight w:val="0"/>
      <w:marTop w:val="0"/>
      <w:marBottom w:val="0"/>
      <w:divBdr>
        <w:top w:val="none" w:sz="0" w:space="0" w:color="auto"/>
        <w:left w:val="none" w:sz="0" w:space="0" w:color="auto"/>
        <w:bottom w:val="none" w:sz="0" w:space="0" w:color="auto"/>
        <w:right w:val="none" w:sz="0" w:space="0" w:color="auto"/>
      </w:divBdr>
    </w:div>
    <w:div w:id="1899391124">
      <w:bodyDiv w:val="1"/>
      <w:marLeft w:val="0"/>
      <w:marRight w:val="0"/>
      <w:marTop w:val="0"/>
      <w:marBottom w:val="0"/>
      <w:divBdr>
        <w:top w:val="none" w:sz="0" w:space="0" w:color="auto"/>
        <w:left w:val="none" w:sz="0" w:space="0" w:color="auto"/>
        <w:bottom w:val="none" w:sz="0" w:space="0" w:color="auto"/>
        <w:right w:val="none" w:sz="0" w:space="0" w:color="auto"/>
      </w:divBdr>
    </w:div>
    <w:div w:id="1914662257">
      <w:bodyDiv w:val="1"/>
      <w:marLeft w:val="0"/>
      <w:marRight w:val="0"/>
      <w:marTop w:val="0"/>
      <w:marBottom w:val="0"/>
      <w:divBdr>
        <w:top w:val="none" w:sz="0" w:space="0" w:color="auto"/>
        <w:left w:val="none" w:sz="0" w:space="0" w:color="auto"/>
        <w:bottom w:val="none" w:sz="0" w:space="0" w:color="auto"/>
        <w:right w:val="none" w:sz="0" w:space="0" w:color="auto"/>
      </w:divBdr>
    </w:div>
    <w:div w:id="1919901533">
      <w:bodyDiv w:val="1"/>
      <w:marLeft w:val="0"/>
      <w:marRight w:val="0"/>
      <w:marTop w:val="0"/>
      <w:marBottom w:val="0"/>
      <w:divBdr>
        <w:top w:val="none" w:sz="0" w:space="0" w:color="auto"/>
        <w:left w:val="none" w:sz="0" w:space="0" w:color="auto"/>
        <w:bottom w:val="none" w:sz="0" w:space="0" w:color="auto"/>
        <w:right w:val="none" w:sz="0" w:space="0" w:color="auto"/>
      </w:divBdr>
    </w:div>
    <w:div w:id="1942637397">
      <w:bodyDiv w:val="1"/>
      <w:marLeft w:val="0"/>
      <w:marRight w:val="0"/>
      <w:marTop w:val="0"/>
      <w:marBottom w:val="0"/>
      <w:divBdr>
        <w:top w:val="none" w:sz="0" w:space="0" w:color="auto"/>
        <w:left w:val="none" w:sz="0" w:space="0" w:color="auto"/>
        <w:bottom w:val="none" w:sz="0" w:space="0" w:color="auto"/>
        <w:right w:val="none" w:sz="0" w:space="0" w:color="auto"/>
      </w:divBdr>
      <w:divsChild>
        <w:div w:id="56125604">
          <w:marLeft w:val="0"/>
          <w:marRight w:val="0"/>
          <w:marTop w:val="0"/>
          <w:marBottom w:val="0"/>
          <w:divBdr>
            <w:top w:val="none" w:sz="0" w:space="0" w:color="auto"/>
            <w:left w:val="none" w:sz="0" w:space="0" w:color="auto"/>
            <w:bottom w:val="none" w:sz="0" w:space="0" w:color="auto"/>
            <w:right w:val="none" w:sz="0" w:space="0" w:color="auto"/>
          </w:divBdr>
        </w:div>
        <w:div w:id="78672038">
          <w:marLeft w:val="0"/>
          <w:marRight w:val="0"/>
          <w:marTop w:val="0"/>
          <w:marBottom w:val="0"/>
          <w:divBdr>
            <w:top w:val="none" w:sz="0" w:space="0" w:color="auto"/>
            <w:left w:val="none" w:sz="0" w:space="0" w:color="auto"/>
            <w:bottom w:val="none" w:sz="0" w:space="0" w:color="auto"/>
            <w:right w:val="none" w:sz="0" w:space="0" w:color="auto"/>
          </w:divBdr>
        </w:div>
        <w:div w:id="684285107">
          <w:marLeft w:val="0"/>
          <w:marRight w:val="0"/>
          <w:marTop w:val="0"/>
          <w:marBottom w:val="0"/>
          <w:divBdr>
            <w:top w:val="none" w:sz="0" w:space="0" w:color="auto"/>
            <w:left w:val="none" w:sz="0" w:space="0" w:color="auto"/>
            <w:bottom w:val="none" w:sz="0" w:space="0" w:color="auto"/>
            <w:right w:val="none" w:sz="0" w:space="0" w:color="auto"/>
          </w:divBdr>
        </w:div>
        <w:div w:id="727267160">
          <w:marLeft w:val="0"/>
          <w:marRight w:val="0"/>
          <w:marTop w:val="0"/>
          <w:marBottom w:val="0"/>
          <w:divBdr>
            <w:top w:val="none" w:sz="0" w:space="0" w:color="auto"/>
            <w:left w:val="none" w:sz="0" w:space="0" w:color="auto"/>
            <w:bottom w:val="none" w:sz="0" w:space="0" w:color="auto"/>
            <w:right w:val="none" w:sz="0" w:space="0" w:color="auto"/>
          </w:divBdr>
        </w:div>
        <w:div w:id="888078824">
          <w:marLeft w:val="0"/>
          <w:marRight w:val="0"/>
          <w:marTop w:val="0"/>
          <w:marBottom w:val="0"/>
          <w:divBdr>
            <w:top w:val="none" w:sz="0" w:space="0" w:color="auto"/>
            <w:left w:val="none" w:sz="0" w:space="0" w:color="auto"/>
            <w:bottom w:val="none" w:sz="0" w:space="0" w:color="auto"/>
            <w:right w:val="none" w:sz="0" w:space="0" w:color="auto"/>
          </w:divBdr>
        </w:div>
        <w:div w:id="992490952">
          <w:marLeft w:val="0"/>
          <w:marRight w:val="0"/>
          <w:marTop w:val="0"/>
          <w:marBottom w:val="0"/>
          <w:divBdr>
            <w:top w:val="none" w:sz="0" w:space="0" w:color="auto"/>
            <w:left w:val="none" w:sz="0" w:space="0" w:color="auto"/>
            <w:bottom w:val="none" w:sz="0" w:space="0" w:color="auto"/>
            <w:right w:val="none" w:sz="0" w:space="0" w:color="auto"/>
          </w:divBdr>
        </w:div>
        <w:div w:id="1004742968">
          <w:marLeft w:val="0"/>
          <w:marRight w:val="0"/>
          <w:marTop w:val="0"/>
          <w:marBottom w:val="0"/>
          <w:divBdr>
            <w:top w:val="none" w:sz="0" w:space="0" w:color="auto"/>
            <w:left w:val="none" w:sz="0" w:space="0" w:color="auto"/>
            <w:bottom w:val="none" w:sz="0" w:space="0" w:color="auto"/>
            <w:right w:val="none" w:sz="0" w:space="0" w:color="auto"/>
          </w:divBdr>
        </w:div>
        <w:div w:id="1340499386">
          <w:marLeft w:val="0"/>
          <w:marRight w:val="0"/>
          <w:marTop w:val="0"/>
          <w:marBottom w:val="0"/>
          <w:divBdr>
            <w:top w:val="none" w:sz="0" w:space="0" w:color="auto"/>
            <w:left w:val="none" w:sz="0" w:space="0" w:color="auto"/>
            <w:bottom w:val="none" w:sz="0" w:space="0" w:color="auto"/>
            <w:right w:val="none" w:sz="0" w:space="0" w:color="auto"/>
          </w:divBdr>
        </w:div>
        <w:div w:id="1362248330">
          <w:marLeft w:val="0"/>
          <w:marRight w:val="0"/>
          <w:marTop w:val="0"/>
          <w:marBottom w:val="0"/>
          <w:divBdr>
            <w:top w:val="none" w:sz="0" w:space="0" w:color="auto"/>
            <w:left w:val="none" w:sz="0" w:space="0" w:color="auto"/>
            <w:bottom w:val="none" w:sz="0" w:space="0" w:color="auto"/>
            <w:right w:val="none" w:sz="0" w:space="0" w:color="auto"/>
          </w:divBdr>
        </w:div>
      </w:divsChild>
    </w:div>
    <w:div w:id="1982035218">
      <w:bodyDiv w:val="1"/>
      <w:marLeft w:val="0"/>
      <w:marRight w:val="0"/>
      <w:marTop w:val="0"/>
      <w:marBottom w:val="0"/>
      <w:divBdr>
        <w:top w:val="none" w:sz="0" w:space="0" w:color="auto"/>
        <w:left w:val="none" w:sz="0" w:space="0" w:color="auto"/>
        <w:bottom w:val="none" w:sz="0" w:space="0" w:color="auto"/>
        <w:right w:val="none" w:sz="0" w:space="0" w:color="auto"/>
      </w:divBdr>
    </w:div>
    <w:div w:id="1984768030">
      <w:bodyDiv w:val="1"/>
      <w:marLeft w:val="0"/>
      <w:marRight w:val="0"/>
      <w:marTop w:val="0"/>
      <w:marBottom w:val="0"/>
      <w:divBdr>
        <w:top w:val="none" w:sz="0" w:space="0" w:color="auto"/>
        <w:left w:val="none" w:sz="0" w:space="0" w:color="auto"/>
        <w:bottom w:val="none" w:sz="0" w:space="0" w:color="auto"/>
        <w:right w:val="none" w:sz="0" w:space="0" w:color="auto"/>
      </w:divBdr>
    </w:div>
    <w:div w:id="2014019542">
      <w:bodyDiv w:val="1"/>
      <w:marLeft w:val="0"/>
      <w:marRight w:val="0"/>
      <w:marTop w:val="0"/>
      <w:marBottom w:val="0"/>
      <w:divBdr>
        <w:top w:val="none" w:sz="0" w:space="0" w:color="auto"/>
        <w:left w:val="none" w:sz="0" w:space="0" w:color="auto"/>
        <w:bottom w:val="none" w:sz="0" w:space="0" w:color="auto"/>
        <w:right w:val="none" w:sz="0" w:space="0" w:color="auto"/>
      </w:divBdr>
    </w:div>
    <w:div w:id="2014985525">
      <w:bodyDiv w:val="1"/>
      <w:marLeft w:val="0"/>
      <w:marRight w:val="0"/>
      <w:marTop w:val="0"/>
      <w:marBottom w:val="0"/>
      <w:divBdr>
        <w:top w:val="none" w:sz="0" w:space="0" w:color="auto"/>
        <w:left w:val="none" w:sz="0" w:space="0" w:color="auto"/>
        <w:bottom w:val="none" w:sz="0" w:space="0" w:color="auto"/>
        <w:right w:val="none" w:sz="0" w:space="0" w:color="auto"/>
      </w:divBdr>
    </w:div>
    <w:div w:id="2033723441">
      <w:bodyDiv w:val="1"/>
      <w:marLeft w:val="0"/>
      <w:marRight w:val="0"/>
      <w:marTop w:val="0"/>
      <w:marBottom w:val="0"/>
      <w:divBdr>
        <w:top w:val="none" w:sz="0" w:space="0" w:color="auto"/>
        <w:left w:val="none" w:sz="0" w:space="0" w:color="auto"/>
        <w:bottom w:val="none" w:sz="0" w:space="0" w:color="auto"/>
        <w:right w:val="none" w:sz="0" w:space="0" w:color="auto"/>
      </w:divBdr>
      <w:divsChild>
        <w:div w:id="155733920">
          <w:marLeft w:val="0"/>
          <w:marRight w:val="0"/>
          <w:marTop w:val="0"/>
          <w:marBottom w:val="0"/>
          <w:divBdr>
            <w:top w:val="none" w:sz="0" w:space="0" w:color="auto"/>
            <w:left w:val="none" w:sz="0" w:space="0" w:color="auto"/>
            <w:bottom w:val="none" w:sz="0" w:space="0" w:color="auto"/>
            <w:right w:val="none" w:sz="0" w:space="0" w:color="auto"/>
          </w:divBdr>
        </w:div>
        <w:div w:id="240137137">
          <w:marLeft w:val="0"/>
          <w:marRight w:val="0"/>
          <w:marTop w:val="0"/>
          <w:marBottom w:val="0"/>
          <w:divBdr>
            <w:top w:val="none" w:sz="0" w:space="0" w:color="auto"/>
            <w:left w:val="none" w:sz="0" w:space="0" w:color="auto"/>
            <w:bottom w:val="none" w:sz="0" w:space="0" w:color="auto"/>
            <w:right w:val="none" w:sz="0" w:space="0" w:color="auto"/>
          </w:divBdr>
        </w:div>
        <w:div w:id="428241487">
          <w:marLeft w:val="0"/>
          <w:marRight w:val="0"/>
          <w:marTop w:val="0"/>
          <w:marBottom w:val="0"/>
          <w:divBdr>
            <w:top w:val="none" w:sz="0" w:space="0" w:color="auto"/>
            <w:left w:val="none" w:sz="0" w:space="0" w:color="auto"/>
            <w:bottom w:val="none" w:sz="0" w:space="0" w:color="auto"/>
            <w:right w:val="none" w:sz="0" w:space="0" w:color="auto"/>
          </w:divBdr>
        </w:div>
        <w:div w:id="835807387">
          <w:marLeft w:val="0"/>
          <w:marRight w:val="0"/>
          <w:marTop w:val="0"/>
          <w:marBottom w:val="0"/>
          <w:divBdr>
            <w:top w:val="none" w:sz="0" w:space="0" w:color="auto"/>
            <w:left w:val="none" w:sz="0" w:space="0" w:color="auto"/>
            <w:bottom w:val="none" w:sz="0" w:space="0" w:color="auto"/>
            <w:right w:val="none" w:sz="0" w:space="0" w:color="auto"/>
          </w:divBdr>
        </w:div>
        <w:div w:id="876042093">
          <w:marLeft w:val="0"/>
          <w:marRight w:val="0"/>
          <w:marTop w:val="0"/>
          <w:marBottom w:val="0"/>
          <w:divBdr>
            <w:top w:val="none" w:sz="0" w:space="0" w:color="auto"/>
            <w:left w:val="none" w:sz="0" w:space="0" w:color="auto"/>
            <w:bottom w:val="none" w:sz="0" w:space="0" w:color="auto"/>
            <w:right w:val="none" w:sz="0" w:space="0" w:color="auto"/>
          </w:divBdr>
        </w:div>
        <w:div w:id="1009521409">
          <w:marLeft w:val="0"/>
          <w:marRight w:val="0"/>
          <w:marTop w:val="0"/>
          <w:marBottom w:val="0"/>
          <w:divBdr>
            <w:top w:val="none" w:sz="0" w:space="0" w:color="auto"/>
            <w:left w:val="none" w:sz="0" w:space="0" w:color="auto"/>
            <w:bottom w:val="none" w:sz="0" w:space="0" w:color="auto"/>
            <w:right w:val="none" w:sz="0" w:space="0" w:color="auto"/>
          </w:divBdr>
        </w:div>
        <w:div w:id="1202521541">
          <w:marLeft w:val="0"/>
          <w:marRight w:val="0"/>
          <w:marTop w:val="0"/>
          <w:marBottom w:val="0"/>
          <w:divBdr>
            <w:top w:val="none" w:sz="0" w:space="0" w:color="auto"/>
            <w:left w:val="none" w:sz="0" w:space="0" w:color="auto"/>
            <w:bottom w:val="none" w:sz="0" w:space="0" w:color="auto"/>
            <w:right w:val="none" w:sz="0" w:space="0" w:color="auto"/>
          </w:divBdr>
        </w:div>
        <w:div w:id="1220479726">
          <w:marLeft w:val="0"/>
          <w:marRight w:val="0"/>
          <w:marTop w:val="0"/>
          <w:marBottom w:val="0"/>
          <w:divBdr>
            <w:top w:val="none" w:sz="0" w:space="0" w:color="auto"/>
            <w:left w:val="none" w:sz="0" w:space="0" w:color="auto"/>
            <w:bottom w:val="none" w:sz="0" w:space="0" w:color="auto"/>
            <w:right w:val="none" w:sz="0" w:space="0" w:color="auto"/>
          </w:divBdr>
        </w:div>
        <w:div w:id="1231885777">
          <w:marLeft w:val="0"/>
          <w:marRight w:val="0"/>
          <w:marTop w:val="0"/>
          <w:marBottom w:val="0"/>
          <w:divBdr>
            <w:top w:val="none" w:sz="0" w:space="0" w:color="auto"/>
            <w:left w:val="none" w:sz="0" w:space="0" w:color="auto"/>
            <w:bottom w:val="none" w:sz="0" w:space="0" w:color="auto"/>
            <w:right w:val="none" w:sz="0" w:space="0" w:color="auto"/>
          </w:divBdr>
        </w:div>
        <w:div w:id="1245451808">
          <w:marLeft w:val="0"/>
          <w:marRight w:val="0"/>
          <w:marTop w:val="0"/>
          <w:marBottom w:val="0"/>
          <w:divBdr>
            <w:top w:val="none" w:sz="0" w:space="0" w:color="auto"/>
            <w:left w:val="none" w:sz="0" w:space="0" w:color="auto"/>
            <w:bottom w:val="none" w:sz="0" w:space="0" w:color="auto"/>
            <w:right w:val="none" w:sz="0" w:space="0" w:color="auto"/>
          </w:divBdr>
        </w:div>
        <w:div w:id="1405297784">
          <w:marLeft w:val="0"/>
          <w:marRight w:val="0"/>
          <w:marTop w:val="0"/>
          <w:marBottom w:val="0"/>
          <w:divBdr>
            <w:top w:val="none" w:sz="0" w:space="0" w:color="auto"/>
            <w:left w:val="none" w:sz="0" w:space="0" w:color="auto"/>
            <w:bottom w:val="none" w:sz="0" w:space="0" w:color="auto"/>
            <w:right w:val="none" w:sz="0" w:space="0" w:color="auto"/>
          </w:divBdr>
        </w:div>
        <w:div w:id="1669207162">
          <w:marLeft w:val="0"/>
          <w:marRight w:val="0"/>
          <w:marTop w:val="0"/>
          <w:marBottom w:val="0"/>
          <w:divBdr>
            <w:top w:val="none" w:sz="0" w:space="0" w:color="auto"/>
            <w:left w:val="none" w:sz="0" w:space="0" w:color="auto"/>
            <w:bottom w:val="none" w:sz="0" w:space="0" w:color="auto"/>
            <w:right w:val="none" w:sz="0" w:space="0" w:color="auto"/>
          </w:divBdr>
        </w:div>
        <w:div w:id="1826697935">
          <w:marLeft w:val="0"/>
          <w:marRight w:val="0"/>
          <w:marTop w:val="0"/>
          <w:marBottom w:val="0"/>
          <w:divBdr>
            <w:top w:val="none" w:sz="0" w:space="0" w:color="auto"/>
            <w:left w:val="none" w:sz="0" w:space="0" w:color="auto"/>
            <w:bottom w:val="none" w:sz="0" w:space="0" w:color="auto"/>
            <w:right w:val="none" w:sz="0" w:space="0" w:color="auto"/>
          </w:divBdr>
        </w:div>
      </w:divsChild>
    </w:div>
    <w:div w:id="2033920210">
      <w:bodyDiv w:val="1"/>
      <w:marLeft w:val="0"/>
      <w:marRight w:val="0"/>
      <w:marTop w:val="0"/>
      <w:marBottom w:val="0"/>
      <w:divBdr>
        <w:top w:val="none" w:sz="0" w:space="0" w:color="auto"/>
        <w:left w:val="none" w:sz="0" w:space="0" w:color="auto"/>
        <w:bottom w:val="none" w:sz="0" w:space="0" w:color="auto"/>
        <w:right w:val="none" w:sz="0" w:space="0" w:color="auto"/>
      </w:divBdr>
    </w:div>
    <w:div w:id="2041709598">
      <w:bodyDiv w:val="1"/>
      <w:marLeft w:val="0"/>
      <w:marRight w:val="0"/>
      <w:marTop w:val="0"/>
      <w:marBottom w:val="0"/>
      <w:divBdr>
        <w:top w:val="none" w:sz="0" w:space="0" w:color="auto"/>
        <w:left w:val="none" w:sz="0" w:space="0" w:color="auto"/>
        <w:bottom w:val="none" w:sz="0" w:space="0" w:color="auto"/>
        <w:right w:val="none" w:sz="0" w:space="0" w:color="auto"/>
      </w:divBdr>
    </w:div>
    <w:div w:id="2067139398">
      <w:bodyDiv w:val="1"/>
      <w:marLeft w:val="0"/>
      <w:marRight w:val="0"/>
      <w:marTop w:val="0"/>
      <w:marBottom w:val="0"/>
      <w:divBdr>
        <w:top w:val="none" w:sz="0" w:space="0" w:color="auto"/>
        <w:left w:val="none" w:sz="0" w:space="0" w:color="auto"/>
        <w:bottom w:val="none" w:sz="0" w:space="0" w:color="auto"/>
        <w:right w:val="none" w:sz="0" w:space="0" w:color="auto"/>
      </w:divBdr>
    </w:div>
    <w:div w:id="2075085655">
      <w:bodyDiv w:val="1"/>
      <w:marLeft w:val="0"/>
      <w:marRight w:val="0"/>
      <w:marTop w:val="0"/>
      <w:marBottom w:val="0"/>
      <w:divBdr>
        <w:top w:val="none" w:sz="0" w:space="0" w:color="auto"/>
        <w:left w:val="none" w:sz="0" w:space="0" w:color="auto"/>
        <w:bottom w:val="none" w:sz="0" w:space="0" w:color="auto"/>
        <w:right w:val="none" w:sz="0" w:space="0" w:color="auto"/>
      </w:divBdr>
    </w:div>
    <w:div w:id="2083015839">
      <w:bodyDiv w:val="1"/>
      <w:marLeft w:val="0"/>
      <w:marRight w:val="0"/>
      <w:marTop w:val="0"/>
      <w:marBottom w:val="0"/>
      <w:divBdr>
        <w:top w:val="none" w:sz="0" w:space="0" w:color="auto"/>
        <w:left w:val="none" w:sz="0" w:space="0" w:color="auto"/>
        <w:bottom w:val="none" w:sz="0" w:space="0" w:color="auto"/>
        <w:right w:val="none" w:sz="0" w:space="0" w:color="auto"/>
      </w:divBdr>
      <w:divsChild>
        <w:div w:id="1898468925">
          <w:marLeft w:val="922"/>
          <w:marRight w:val="0"/>
          <w:marTop w:val="0"/>
          <w:marBottom w:val="120"/>
          <w:divBdr>
            <w:top w:val="none" w:sz="0" w:space="0" w:color="auto"/>
            <w:left w:val="none" w:sz="0" w:space="0" w:color="auto"/>
            <w:bottom w:val="none" w:sz="0" w:space="0" w:color="auto"/>
            <w:right w:val="none" w:sz="0" w:space="0" w:color="auto"/>
          </w:divBdr>
        </w:div>
      </w:divsChild>
    </w:div>
    <w:div w:id="2084792281">
      <w:bodyDiv w:val="1"/>
      <w:marLeft w:val="0"/>
      <w:marRight w:val="0"/>
      <w:marTop w:val="0"/>
      <w:marBottom w:val="0"/>
      <w:divBdr>
        <w:top w:val="none" w:sz="0" w:space="0" w:color="auto"/>
        <w:left w:val="none" w:sz="0" w:space="0" w:color="auto"/>
        <w:bottom w:val="none" w:sz="0" w:space="0" w:color="auto"/>
        <w:right w:val="none" w:sz="0" w:space="0" w:color="auto"/>
      </w:divBdr>
    </w:div>
    <w:div w:id="2088729195">
      <w:bodyDiv w:val="1"/>
      <w:marLeft w:val="0"/>
      <w:marRight w:val="0"/>
      <w:marTop w:val="0"/>
      <w:marBottom w:val="0"/>
      <w:divBdr>
        <w:top w:val="none" w:sz="0" w:space="0" w:color="auto"/>
        <w:left w:val="none" w:sz="0" w:space="0" w:color="auto"/>
        <w:bottom w:val="none" w:sz="0" w:space="0" w:color="auto"/>
        <w:right w:val="none" w:sz="0" w:space="0" w:color="auto"/>
      </w:divBdr>
    </w:div>
    <w:div w:id="2116290061">
      <w:bodyDiv w:val="1"/>
      <w:marLeft w:val="0"/>
      <w:marRight w:val="0"/>
      <w:marTop w:val="0"/>
      <w:marBottom w:val="0"/>
      <w:divBdr>
        <w:top w:val="none" w:sz="0" w:space="0" w:color="auto"/>
        <w:left w:val="none" w:sz="0" w:space="0" w:color="auto"/>
        <w:bottom w:val="none" w:sz="0" w:space="0" w:color="auto"/>
        <w:right w:val="none" w:sz="0" w:space="0" w:color="auto"/>
      </w:divBdr>
    </w:div>
    <w:div w:id="2143837446">
      <w:bodyDiv w:val="1"/>
      <w:marLeft w:val="0"/>
      <w:marRight w:val="0"/>
      <w:marTop w:val="0"/>
      <w:marBottom w:val="0"/>
      <w:divBdr>
        <w:top w:val="none" w:sz="0" w:space="0" w:color="auto"/>
        <w:left w:val="none" w:sz="0" w:space="0" w:color="auto"/>
        <w:bottom w:val="none" w:sz="0" w:space="0" w:color="auto"/>
        <w:right w:val="none" w:sz="0" w:space="0" w:color="auto"/>
      </w:divBdr>
      <w:divsChild>
        <w:div w:id="945967710">
          <w:marLeft w:val="0"/>
          <w:marRight w:val="0"/>
          <w:marTop w:val="0"/>
          <w:marBottom w:val="0"/>
          <w:divBdr>
            <w:top w:val="none" w:sz="0" w:space="0" w:color="auto"/>
            <w:left w:val="none" w:sz="0" w:space="0" w:color="auto"/>
            <w:bottom w:val="none" w:sz="0" w:space="0" w:color="auto"/>
            <w:right w:val="none" w:sz="0" w:space="0" w:color="auto"/>
          </w:divBdr>
        </w:div>
        <w:div w:id="1105734250">
          <w:marLeft w:val="0"/>
          <w:marRight w:val="0"/>
          <w:marTop w:val="0"/>
          <w:marBottom w:val="0"/>
          <w:divBdr>
            <w:top w:val="none" w:sz="0" w:space="0" w:color="auto"/>
            <w:left w:val="none" w:sz="0" w:space="0" w:color="auto"/>
            <w:bottom w:val="none" w:sz="0" w:space="0" w:color="auto"/>
            <w:right w:val="none" w:sz="0" w:space="0" w:color="auto"/>
          </w:divBdr>
        </w:div>
        <w:div w:id="1964723300">
          <w:marLeft w:val="0"/>
          <w:marRight w:val="0"/>
          <w:marTop w:val="0"/>
          <w:marBottom w:val="0"/>
          <w:divBdr>
            <w:top w:val="none" w:sz="0" w:space="0" w:color="auto"/>
            <w:left w:val="none" w:sz="0" w:space="0" w:color="auto"/>
            <w:bottom w:val="none" w:sz="0" w:space="0" w:color="auto"/>
            <w:right w:val="none" w:sz="0" w:space="0" w:color="auto"/>
          </w:divBdr>
        </w:div>
      </w:divsChild>
    </w:div>
    <w:div w:id="2145345024">
      <w:bodyDiv w:val="1"/>
      <w:marLeft w:val="0"/>
      <w:marRight w:val="0"/>
      <w:marTop w:val="0"/>
      <w:marBottom w:val="0"/>
      <w:divBdr>
        <w:top w:val="none" w:sz="0" w:space="0" w:color="auto"/>
        <w:left w:val="none" w:sz="0" w:space="0" w:color="auto"/>
        <w:bottom w:val="none" w:sz="0" w:space="0" w:color="auto"/>
        <w:right w:val="none" w:sz="0" w:space="0" w:color="auto"/>
      </w:divBdr>
      <w:divsChild>
        <w:div w:id="1048533565">
          <w:marLeft w:val="965"/>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5"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51E00B7A2C2B4FB097E7F13617664B"/>
        <w:category>
          <w:name w:val="Général"/>
          <w:gallery w:val="placeholder"/>
        </w:category>
        <w:types>
          <w:type w:val="bbPlcHdr"/>
        </w:types>
        <w:behaviors>
          <w:behavior w:val="content"/>
        </w:behaviors>
        <w:guid w:val="{36EFC226-8B63-684D-B69D-2C93EA0E0D23}"/>
      </w:docPartPr>
      <w:docPartBody>
        <w:p w:rsidR="000F3209" w:rsidRDefault="000F3209">
          <w:pPr>
            <w:pStyle w:val="8A51E00B7A2C2B4FB097E7F13617664B"/>
          </w:pPr>
          <w:r>
            <w:t>Lorem Ipsum Dolor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7666E4"/>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nsid w:val="FFFFFF89"/>
    <w:multiLevelType w:val="singleLevel"/>
    <w:tmpl w:val="7862CAF0"/>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09"/>
    <w:rsid w:val="00010D03"/>
    <w:rsid w:val="00012532"/>
    <w:rsid w:val="00040F72"/>
    <w:rsid w:val="0006165D"/>
    <w:rsid w:val="0008387A"/>
    <w:rsid w:val="00086AB5"/>
    <w:rsid w:val="000A0C8F"/>
    <w:rsid w:val="000B7112"/>
    <w:rsid w:val="000D44BB"/>
    <w:rsid w:val="000F3209"/>
    <w:rsid w:val="000F5E97"/>
    <w:rsid w:val="001A054F"/>
    <w:rsid w:val="002325D9"/>
    <w:rsid w:val="0023796A"/>
    <w:rsid w:val="00295870"/>
    <w:rsid w:val="002B6F0B"/>
    <w:rsid w:val="0031038D"/>
    <w:rsid w:val="00376FCE"/>
    <w:rsid w:val="003C2727"/>
    <w:rsid w:val="004117E7"/>
    <w:rsid w:val="00413BEB"/>
    <w:rsid w:val="004562CE"/>
    <w:rsid w:val="0046013D"/>
    <w:rsid w:val="00494420"/>
    <w:rsid w:val="004A5DEC"/>
    <w:rsid w:val="004A6B42"/>
    <w:rsid w:val="004F5E29"/>
    <w:rsid w:val="00504A9D"/>
    <w:rsid w:val="0052451A"/>
    <w:rsid w:val="005306B8"/>
    <w:rsid w:val="00537BA4"/>
    <w:rsid w:val="00557C2A"/>
    <w:rsid w:val="005716B2"/>
    <w:rsid w:val="00573C91"/>
    <w:rsid w:val="005A1662"/>
    <w:rsid w:val="005B008B"/>
    <w:rsid w:val="005D1AB6"/>
    <w:rsid w:val="005E40B1"/>
    <w:rsid w:val="00634F79"/>
    <w:rsid w:val="0065361F"/>
    <w:rsid w:val="006717D2"/>
    <w:rsid w:val="0068169F"/>
    <w:rsid w:val="006C7B32"/>
    <w:rsid w:val="006D2536"/>
    <w:rsid w:val="006F2042"/>
    <w:rsid w:val="00744112"/>
    <w:rsid w:val="007444C2"/>
    <w:rsid w:val="00746E77"/>
    <w:rsid w:val="007554AC"/>
    <w:rsid w:val="00765D40"/>
    <w:rsid w:val="00773960"/>
    <w:rsid w:val="0078448C"/>
    <w:rsid w:val="00795D3E"/>
    <w:rsid w:val="007F759B"/>
    <w:rsid w:val="00813A81"/>
    <w:rsid w:val="00824B31"/>
    <w:rsid w:val="008320B0"/>
    <w:rsid w:val="00844509"/>
    <w:rsid w:val="008500C3"/>
    <w:rsid w:val="0087266C"/>
    <w:rsid w:val="0089592D"/>
    <w:rsid w:val="008B06CB"/>
    <w:rsid w:val="008C6227"/>
    <w:rsid w:val="008C78A4"/>
    <w:rsid w:val="008F5BEE"/>
    <w:rsid w:val="00905108"/>
    <w:rsid w:val="00910174"/>
    <w:rsid w:val="00922796"/>
    <w:rsid w:val="009631ED"/>
    <w:rsid w:val="009A3F71"/>
    <w:rsid w:val="009F05F3"/>
    <w:rsid w:val="00A0671B"/>
    <w:rsid w:val="00A20452"/>
    <w:rsid w:val="00A347DF"/>
    <w:rsid w:val="00A51C8A"/>
    <w:rsid w:val="00A8124B"/>
    <w:rsid w:val="00A83A7D"/>
    <w:rsid w:val="00A859F2"/>
    <w:rsid w:val="00AC6F23"/>
    <w:rsid w:val="00AD26E2"/>
    <w:rsid w:val="00AF498B"/>
    <w:rsid w:val="00B06791"/>
    <w:rsid w:val="00B34485"/>
    <w:rsid w:val="00B52718"/>
    <w:rsid w:val="00B67CFF"/>
    <w:rsid w:val="00BB18D9"/>
    <w:rsid w:val="00BC33C0"/>
    <w:rsid w:val="00BD575F"/>
    <w:rsid w:val="00BE0A8B"/>
    <w:rsid w:val="00C22266"/>
    <w:rsid w:val="00C36141"/>
    <w:rsid w:val="00C56D33"/>
    <w:rsid w:val="00C61958"/>
    <w:rsid w:val="00C8655F"/>
    <w:rsid w:val="00CB593E"/>
    <w:rsid w:val="00CC5F5B"/>
    <w:rsid w:val="00D352A4"/>
    <w:rsid w:val="00D76E8D"/>
    <w:rsid w:val="00D95295"/>
    <w:rsid w:val="00DA2586"/>
    <w:rsid w:val="00DC29C4"/>
    <w:rsid w:val="00DC5F0C"/>
    <w:rsid w:val="00E037C1"/>
    <w:rsid w:val="00E5792E"/>
    <w:rsid w:val="00ED1B79"/>
    <w:rsid w:val="00ED6F48"/>
    <w:rsid w:val="00EE37CF"/>
    <w:rsid w:val="00EF2B39"/>
    <w:rsid w:val="00F71568"/>
    <w:rsid w:val="00F860F7"/>
    <w:rsid w:val="00FE43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C0504D"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C0504D"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C0504D"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C0504D"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_rels/theme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Capital">
  <a:themeElements>
    <a:clrScheme name="Term Paper">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Laste</b:Tag>
    <b:SourceType>Book</b:SourceType>
    <b:Guid>{BD4ADEE4-EAA5-4B04-A87D-2E77C1151C40}</b:Guid>
    <b:Title>Lorem Ipsum Dolor Sit Amet</b:Title>
    <b:Year>Date</b:Year>
    <b:City>Ville</b:City>
    <b:Publisher>Publisher</b:Publisher>
    <b:Author>
      <b:Author>
        <b:NameList>
          <b:Person>
            <b:Last>Last Name</b:Last>
            <b:First>First Name</b:First>
          </b:Person>
        </b:NameList>
      </b:Author>
    </b:Author>
    <b:RefOrder>1</b:RefOrder>
  </b:Source>
  <b:Source>
    <b:Tag>Laste1</b:Tag>
    <b:SourceType>JournalArticle</b:SourceType>
    <b:Guid>{89CA9E05-3404-46CB-8061-6741D2EB17B5}</b:Guid>
    <b:Title>Dolor Sit Amet</b:Title>
    <b:Year>Date</b:Year>
    <b:JournalName>Lorem Ipsum</b:JournalName>
    <b:Pages>1 - 10</b:Pages>
    <b:Author>
      <b:Author>
        <b:NameList>
          <b:Person>
            <b:Last>Last Name</b:Last>
            <b:First>First Name</b:First>
          </b:Person>
        </b:NameList>
      </b:Author>
    </b:Author>
    <b:RefOrder>2</b:RefOrder>
  </b:Source>
  <b:Source>
    <b:Tag>Dolte</b:Tag>
    <b:SourceType>ArticleInAPeriodical</b:SourceType>
    <b:Guid>{2C792E63-AED4-412B-A2CD-AC7291C24484}</b:Guid>
    <b:Author>
      <b:Author>
        <b:NameList>
          <b:Person>
            <b:Last>Last Name</b:Last>
            <b:First>First Name</b:First>
          </b:Person>
        </b:NameList>
      </b:Author>
    </b:Author>
    <b:Title>Lorem Ipsum Dolor Sit Amet</b:Title>
    <b:Year>Date</b:Year>
    <b:City>Ville</b:City>
    <b:Publisher>Publisher</b:Publisher>
    <b:StateProvince>État</b:StateProvince>
    <b:CountryRegion>Country</b:CountryRegion>
    <b:PeriodicalTitle>Duis sed elit ante</b:PeriodicalTitle>
    <b:Pages>10-20</b:Pages>
    <b:RefOrder>3</b:RefOrder>
  </b:Source>
</b:Sources>
</file>

<file path=customXml/itemProps1.xml><?xml version="1.0" encoding="utf-8"?>
<ds:datastoreItem xmlns:ds="http://schemas.openxmlformats.org/officeDocument/2006/customXml" ds:itemID="{133F19F2-D03A-4CB7-AC9B-F2BAAAEA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3106</Words>
  <Characters>17710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Strategic Environmental Assessment (SEA) process 
- Joint Operational Programme Black Sea Basin 2014-2020 -</vt:lpstr>
    </vt:vector>
  </TitlesOfParts>
  <Company>Hewlett-Packard Company</Company>
  <LinksUpToDate>false</LinksUpToDate>
  <CharactersWithSpaces>20775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Environmental Assessment (SEA) process 
- Joint Operational Programme Black Sea Basin 2014-2020 -</dc:title>
  <dc:subject>Socio-Economic Analysis</dc:subject>
  <dc:creator>KARINE BLANCHE LEROY</dc:creator>
  <cp:lastModifiedBy>Eugenia Stanciu</cp:lastModifiedBy>
  <cp:revision>16</cp:revision>
  <cp:lastPrinted>2015-09-30T07:17:00Z</cp:lastPrinted>
  <dcterms:created xsi:type="dcterms:W3CDTF">2015-06-28T22:00:00Z</dcterms:created>
  <dcterms:modified xsi:type="dcterms:W3CDTF">2015-09-30T07:17:00Z</dcterms:modified>
</cp:coreProperties>
</file>